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nhà ở vùng thường xuyên ngập lũ đồng bằng sông Cửu Long đối với Doanh nghiệp xây dựng nhà bán trả chậm cho hộ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Khi doanh nghiệp hoàn thành việc xây dựng, lắp đặt nhà có Biên bản nghiệm thu nhà của Ban dự án, lập Giấy đề nghị vay vốn gửi đến NHCSXH nơi thực hiện thủ tục.</w:t>
      </w:r>
    </w:p>
    <w:p>
      <w:pPr>
        <w:spacing w:after="0" w:before="0" w:lineRule="auto" w:line="276"/>
        <w:jc w:val="both"/>
      </w:pPr>
      <w:r>
        <w:rPr>
          <w:rFonts w:ascii="Times New Roman" w:hAnsi="Times New Roman" w:cs="Times New Roman" w:eastAsia="Times New Roman"/>
          <w:b w:val="false"/>
          <w:sz w:val="26"/>
        </w:rPr>
        <w:t xml:space="preserve"> Bước 2: Cán bộ tín dụng tiếp nhận, hướng dẫn doanh nghiệp lập và cung cấp hồ sơ theo quy định, tiến hành thẩm định các điều kiện cho vay và lập báo cáo thẩm định, tái thẩm định (mẫu số 02/CVDNXD).</w:t>
      </w:r>
    </w:p>
    <w:p>
      <w:pPr>
        <w:spacing w:after="0" w:before="0" w:lineRule="auto" w:line="276"/>
        <w:jc w:val="both"/>
      </w:pPr>
      <w:r>
        <w:rPr>
          <w:rFonts w:ascii="Times New Roman" w:hAnsi="Times New Roman" w:cs="Times New Roman" w:eastAsia="Times New Roman"/>
          <w:b w:val="false"/>
          <w:sz w:val="26"/>
        </w:rPr>
        <w:t xml:space="preserve"> Bước 3: NHCSXH nơi thực hiện thủ tục kiểm tra tính hợp lệ, hợp pháp của hồ sơ và báo cáo thẩm định, tái thẩm định (nếu có) để xem xét hồ sơ cho vay, quyết định cho vay hay không cho vay:
+ Nếu cho vay thì cùng doanh nghiệp lập hợp đồng tín dụng;
+ Nếu không cho vay thì thông báo bằng văn bản cho doanh nghiệp biết và nêu rõ lý do từ chối cho vay</w:t>
      </w:r>
    </w:p>
    <w:p>
      <w:pPr>
        <w:spacing w:after="0" w:before="0" w:lineRule="auto" w:line="276"/>
        <w:jc w:val="both"/>
      </w:pPr>
      <w:r>
        <w:rPr>
          <w:rFonts w:ascii="Times New Roman" w:hAnsi="Times New Roman" w:cs="Times New Roman" w:eastAsia="Times New Roman"/>
          <w:b w:val="false"/>
          <w:sz w:val="26"/>
        </w:rPr>
        <w:t>Bước 4: Toàn bộ hồ sơ khoản vay được ký duyệt cho vay, cán bộ kế toán kiểm tra lại tính pháp lý trên hồ sơ, đảm bảo đủ các loại giấy tờ quy định và giải ngân cho doanh nghiệp theo chế độ.</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nộp hồ sơ đề nghị vay vốn trực tiếp tại NHCSXH nơi thực hiện thủ tục.
Trong thời gian 03 (ba) ngày làm việc kể từ ngày NHCSXH nơi thực hiện thủ tục nhận được đầy đủ hổ sơ hợp pháp, hợp lệ.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do doanh nghiệp lập và cung cấp: * Hồ sơ pháp lý: Doanh nghiệp thiết lập quan hệ tín dụng lần đầu, phải  gửi đến NHCSXH nơi thực hiện thủ tục Bản đăng ký kinh doanh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kinh tế (các bản sao có chứng thực)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của UBND cấp tỉnh phê duyệt là đơn vị sản xuất nhà ở bán trả chậm cho dân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Hợp đồng ký kết giữa doanh nghiệp và đơn vị được UBND tỉnh giao thực hiện việc quản lý xây dựng các cụm tuyến dân cư và nhà ở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vay vốn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(mẫu 01/CVDNXD)</w:t>
            </w:r>
          </w:p>
        </w:tc>
        <w:tc>
          <w:p/>
          <w:p>
            <w:pPr>
              <w:spacing w:after="0" w:before="0" w:lineRule="auto" w:line="276"/>
              <w:jc w:val="left"/>
            </w:pPr>
            <w:r>
              <w:rPr>
                <w:rFonts w:ascii="Times New Roman" w:hAnsi="Times New Roman" w:cs="Times New Roman" w:eastAsia="Times New Roman"/>
                <w:b w:val="false"/>
                <w:sz w:val="26"/>
              </w:rPr>
              <w:t>01-CVDNXD (SĐ) VB-5589 ngay 29.12.2017.doc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tổng hợp số lượng và giá trị nhà được lắp đặt kèm biên bản nghiệm thu căn nhà;</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chứng từ có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do doanh nghiệp và NHCSXH nơi thực hiện thủ tục cùng lập: Hợp đồng tín dụng (mẫu số 03/CVDNXD);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105/2002/QĐ-TTg</w:t>
            </w:r>
          </w:p>
        </w:tc>
        <w:tc>
          <w:p/>
          <w:p>
            <w:pPr>
              <w:spacing w:after="0" w:before="0" w:lineRule="auto" w:line="276"/>
              <w:jc w:val="left"/>
            </w:pPr>
            <w:r>
              <w:rPr>
                <w:rFonts w:ascii="Times New Roman" w:hAnsi="Times New Roman" w:cs="Times New Roman" w:eastAsia="Times New Roman"/>
                <w:b w:val="false"/>
                <w:sz w:val="26"/>
              </w:rPr>
              <w:t>Về chính sách cho các hộ dân vùng ngập lũ mua trả chậm nền nhà và nhà ở trong các cụm, tuyến dân cư ở các tỉnh đồng bằng sông Cửu Long</w:t>
            </w:r>
          </w:p>
        </w:tc>
        <w:tc>
          <w:p/>
          <w:p>
            <w:pPr>
              <w:spacing w:after="0" w:before="0" w:lineRule="auto" w:line="276"/>
              <w:jc w:val="left"/>
            </w:pPr>
            <w:r>
              <w:rPr>
                <w:rFonts w:ascii="Times New Roman" w:hAnsi="Times New Roman" w:cs="Times New Roman" w:eastAsia="Times New Roman"/>
                <w:b w:val="false"/>
                <w:sz w:val="26"/>
              </w:rPr>
              <w:t>17-08-2002</w:t>
            </w:r>
          </w:p>
        </w:tc>
        <w:tc>
          <w:p/>
        </w:tc>
      </w:tr>
      <w:tr>
        <w:tc>
          <w:p/>
          <w:p>
            <w:pPr>
              <w:spacing w:after="0" w:before="0" w:lineRule="auto" w:line="276"/>
              <w:jc w:val="left"/>
            </w:pPr>
            <w:r>
              <w:rPr>
                <w:rFonts w:ascii="Times New Roman" w:hAnsi="Times New Roman" w:cs="Times New Roman" w:eastAsia="Times New Roman"/>
                <w:b w:val="false"/>
                <w:sz w:val="26"/>
              </w:rPr>
              <w:t>72/2002/TTLT/BTC-BXD-NHNN</w:t>
            </w:r>
          </w:p>
        </w:tc>
        <w:tc>
          <w:p/>
          <w:p>
            <w:pPr>
              <w:spacing w:after="0" w:before="0" w:lineRule="auto" w:line="276"/>
              <w:jc w:val="left"/>
            </w:pPr>
            <w:r>
              <w:rPr>
                <w:rFonts w:ascii="Times New Roman" w:hAnsi="Times New Roman" w:cs="Times New Roman" w:eastAsia="Times New Roman"/>
                <w:b w:val="false"/>
                <w:sz w:val="26"/>
              </w:rPr>
              <w:t>Hướng dẫn thực hiện chính sách cho các hộ dân vùng ngập lũ mua trả chậm nền nhà và nhà ở trong cụm, tuyến dân cư vùng đồng bằng sông Cửu Long</w:t>
            </w:r>
          </w:p>
        </w:tc>
        <w:tc>
          <w:p/>
          <w:p>
            <w:pPr>
              <w:spacing w:after="0" w:before="0" w:lineRule="auto" w:line="276"/>
              <w:jc w:val="left"/>
            </w:pPr>
            <w:r>
              <w:rPr>
                <w:rFonts w:ascii="Times New Roman" w:hAnsi="Times New Roman" w:cs="Times New Roman" w:eastAsia="Times New Roman"/>
                <w:b w:val="false"/>
                <w:sz w:val="26"/>
              </w:rPr>
              <w:t>23-08-2002</w:t>
            </w:r>
          </w:p>
        </w:tc>
        <w:tc>
          <w:p/>
        </w:tc>
      </w:tr>
      <w:tr>
        <w:tc>
          <w:p/>
          <w:p>
            <w:pPr>
              <w:spacing w:after="0" w:before="0" w:lineRule="auto" w:line="276"/>
              <w:jc w:val="left"/>
            </w:pPr>
            <w:r>
              <w:rPr>
                <w:rFonts w:ascii="Times New Roman" w:hAnsi="Times New Roman" w:cs="Times New Roman" w:eastAsia="Times New Roman"/>
                <w:b w:val="false"/>
                <w:sz w:val="26"/>
              </w:rPr>
              <w:t>204/2005/QĐ-TTg</w:t>
            </w:r>
          </w:p>
        </w:tc>
        <w:tc>
          <w:p/>
          <w:p>
            <w:pPr>
              <w:spacing w:after="0" w:before="0" w:lineRule="auto" w:line="276"/>
              <w:jc w:val="left"/>
            </w:pPr>
            <w:r>
              <w:rPr>
                <w:rFonts w:ascii="Times New Roman" w:hAnsi="Times New Roman" w:cs="Times New Roman" w:eastAsia="Times New Roman"/>
                <w:b w:val="false"/>
                <w:sz w:val="26"/>
              </w:rPr>
              <w:t>Về việc điều chỉnh, bổ sung đối tượng và cơ chế vay vốn xây dựng nhà ở thuộc Chương trình xây dựng cụm, tuyến dân cư và nhà ở vùng thường xuyên ngập lũ đồng bằng sông Cửu Long</w:t>
            </w:r>
          </w:p>
        </w:tc>
        <w:tc>
          <w:p/>
          <w:p>
            <w:pPr>
              <w:spacing w:after="0" w:before="0" w:lineRule="auto" w:line="276"/>
              <w:jc w:val="left"/>
            </w:pPr>
            <w:r>
              <w:rPr>
                <w:rFonts w:ascii="Times New Roman" w:hAnsi="Times New Roman" w:cs="Times New Roman" w:eastAsia="Times New Roman"/>
                <w:b w:val="false"/>
                <w:sz w:val="26"/>
              </w:rPr>
              <w:t>10-09-2005</w:t>
            </w:r>
          </w:p>
        </w:tc>
        <w:tc>
          <w:p/>
        </w:tc>
      </w:tr>
      <w:tr>
        <w:tc>
          <w:p/>
          <w:p>
            <w:pPr>
              <w:spacing w:after="0" w:before="0" w:lineRule="auto" w:line="276"/>
              <w:jc w:val="left"/>
            </w:pPr>
            <w:r>
              <w:rPr>
                <w:rFonts w:ascii="Times New Roman" w:hAnsi="Times New Roman" w:cs="Times New Roman" w:eastAsia="Times New Roman"/>
                <w:b w:val="false"/>
                <w:sz w:val="26"/>
              </w:rPr>
              <w:t>3151/NHCS-TD</w:t>
            </w:r>
          </w:p>
        </w:tc>
        <w:tc>
          <w:p/>
          <w:p>
            <w:pPr>
              <w:spacing w:after="0" w:before="0" w:lineRule="auto" w:line="276"/>
              <w:jc w:val="left"/>
            </w:pPr>
            <w:r>
              <w:rPr>
                <w:rFonts w:ascii="Times New Roman" w:hAnsi="Times New Roman" w:cs="Times New Roman" w:eastAsia="Times New Roman"/>
                <w:b w:val="false"/>
                <w:sz w:val="26"/>
              </w:rPr>
              <w:t>V/v hướng dẫn nghiệp vụ cho vay chương trình nhà ở vùng thường xuyên ngập lũ đồng bằng sông Cửu</w:t>
            </w:r>
          </w:p>
        </w:tc>
        <w:tc>
          <w:p/>
          <w:p>
            <w:pPr>
              <w:spacing w:after="0" w:before="0" w:lineRule="auto" w:line="276"/>
              <w:jc w:val="left"/>
            </w:pPr>
            <w:r>
              <w:rPr>
                <w:rFonts w:ascii="Times New Roman" w:hAnsi="Times New Roman" w:cs="Times New Roman" w:eastAsia="Times New Roman"/>
                <w:b w:val="false"/>
                <w:sz w:val="26"/>
              </w:rPr>
              <w:t>07-11-2005</w:t>
            </w:r>
          </w:p>
        </w:tc>
        <w:tc>
          <w:p/>
        </w:tc>
      </w:tr>
      <w:tr>
        <w:tc>
          <w:p/>
          <w:p>
            <w:pPr>
              <w:spacing w:after="0" w:before="0" w:lineRule="auto" w:line="276"/>
              <w:jc w:val="left"/>
            </w:pPr>
            <w:r>
              <w:rPr>
                <w:rFonts w:ascii="Times New Roman" w:hAnsi="Times New Roman" w:cs="Times New Roman" w:eastAsia="Times New Roman"/>
                <w:b w:val="false"/>
                <w:sz w:val="26"/>
              </w:rPr>
              <w:t>2460/NHCS-TD</w:t>
            </w:r>
          </w:p>
        </w:tc>
        <w:tc>
          <w:p/>
          <w:p>
            <w:pPr>
              <w:spacing w:after="0" w:before="0" w:lineRule="auto" w:line="276"/>
              <w:jc w:val="left"/>
            </w:pPr>
            <w:r>
              <w:rPr>
                <w:rFonts w:ascii="Times New Roman" w:hAnsi="Times New Roman" w:cs="Times New Roman" w:eastAsia="Times New Roman"/>
                <w:b w:val="false"/>
                <w:sz w:val="26"/>
              </w:rPr>
              <w:t>V/v hướng dẫn thực hiện cho vay Chương trình xây dựng cụm, tuyến dân cư và nhà ở vùng ngập lũ đồng bằng sông Cửu Long (giai đoạn 2)</w:t>
            </w:r>
          </w:p>
        </w:tc>
        <w:tc>
          <w:p/>
          <w:p>
            <w:pPr>
              <w:spacing w:after="0" w:before="0" w:lineRule="auto" w:line="276"/>
              <w:jc w:val="left"/>
            </w:pPr>
            <w:r>
              <w:rPr>
                <w:rFonts w:ascii="Times New Roman" w:hAnsi="Times New Roman" w:cs="Times New Roman" w:eastAsia="Times New Roman"/>
                <w:b w:val="false"/>
                <w:sz w:val="26"/>
              </w:rPr>
              <w:t>05-09-2008</w:t>
            </w:r>
          </w:p>
        </w:tc>
        <w:tc>
          <w:p/>
        </w:tc>
      </w:tr>
      <w:tr>
        <w:tc>
          <w:p/>
          <w:p>
            <w:pPr>
              <w:spacing w:after="0" w:before="0" w:lineRule="auto" w:line="276"/>
              <w:jc w:val="left"/>
            </w:pPr>
            <w:r>
              <w:rPr>
                <w:rFonts w:ascii="Times New Roman" w:hAnsi="Times New Roman" w:cs="Times New Roman" w:eastAsia="Times New Roman"/>
                <w:b w:val="false"/>
                <w:sz w:val="26"/>
              </w:rPr>
              <w:t>78/2004/QĐ-TTg</w:t>
            </w:r>
          </w:p>
        </w:tc>
        <w:tc>
          <w:p/>
          <w:p>
            <w:pPr>
              <w:spacing w:after="0" w:before="0" w:lineRule="auto" w:line="276"/>
              <w:jc w:val="left"/>
            </w:pPr>
            <w:r>
              <w:rPr>
                <w:rFonts w:ascii="Times New Roman" w:hAnsi="Times New Roman" w:cs="Times New Roman" w:eastAsia="Times New Roman"/>
                <w:b w:val="false"/>
                <w:sz w:val="26"/>
              </w:rPr>
              <w:t>Về việc điều chỉnh, bổ sung một số cơ chế chính sách để đẩy nhanh tiến độ xây dựng cụm, tuyến dân cư và nhà ở tại các tỉnh thường xuyên ngập lũ đồng bằng sông Cửu Long</w:t>
            </w:r>
          </w:p>
        </w:tc>
        <w:tc>
          <w:p/>
          <w:p>
            <w:pPr>
              <w:spacing w:after="0" w:before="0" w:lineRule="auto" w:line="276"/>
              <w:jc w:val="left"/>
            </w:pPr>
            <w:r>
              <w:rPr>
                <w:rFonts w:ascii="Times New Roman" w:hAnsi="Times New Roman" w:cs="Times New Roman" w:eastAsia="Times New Roman"/>
                <w:b w:val="false"/>
                <w:sz w:val="26"/>
              </w:rPr>
              <w:t>07-05-2004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hợp đồng ký kết giữa doanh nghiệp và đơn vị được UBND tỉnh giao thực hiện quản lý việc xây dựng các cụm tuyến dân cư và nhà ở (UBND hoặc Ban dự án).
- Có tên trong danh sách các doanh nghiệp sản xuất nhà ở được UBND cấp tỉnh phê duyệt và phải đảm bảo về tiêu chuẩn, chất lượng nhà theo quy định (diện tích 32m2 khung bê tông dự ứng lực, tường xây gạch, mái lợp tôn và hố xí tự hoại) được Ban dự án nghiệm thu xác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2025-11-27T16:38:03Z</dcterms:created>
  <dc:creator>Apache POI</dc:creator>
</cp:coreProperties>
</file>