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đổi thẻ hướng dẫn viên du lịch quốc tế, thẻ hướng dẫn viên du lịch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Du lịch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Hướng dẫn viên du lịch quốc tế, hướng dẫn viên du lịch nội địa nộp hồ sơ đến Sở Du lịch/Sở Văn hóa, Thể thao và Du lịch khi thẻ hết hạn sử dụng.</w:t>
      </w:r>
    </w:p>
    <w:p>
      <w:pPr>
        <w:spacing w:after="0" w:before="0" w:lineRule="auto" w:line="276"/>
        <w:jc w:val="both"/>
      </w:pPr>
      <w:r>
        <w:rPr>
          <w:rFonts w:ascii="Times New Roman" w:hAnsi="Times New Roman" w:cs="Times New Roman" w:eastAsia="Times New Roman"/>
          <w:b w:val="false"/>
          <w:sz w:val="26"/>
        </w:rPr>
        <w:t xml:space="preserve"> - Trong thời hạn 10 ngày kể từ ngày nhận được hồ sơ hợp lệ, Sở Du lịch/Sở Văn hóa, Thể thao và Du lịch có trách nhiệm cấp đổi thẻ hướng dẫn viên du lịch cho người đề nghị;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325.000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325.000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325.000 Đồng</w:t>
            </w:r>
          </w:p>
        </w:tc>
        <w:tc>
          <w:p/>
          <w:p>
            <w:pPr>
              <w:spacing w:after="0" w:before="0" w:lineRule="auto" w:line="276"/>
              <w:jc w:val="left"/>
            </w:pPr>
            <w:r>
              <w:rPr>
                <w:rFonts w:ascii="Times New Roman" w:hAnsi="Times New Roman" w:cs="Times New Roman" w:eastAsia="Times New Roman"/>
                <w:b w:val="false"/>
                <w:sz w:val="26"/>
              </w:rPr>
              <w:t>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chứng nhận sức khỏe do cơ sở khám bệnh, chữa bệnh có thẩm quyền cấp trong thời hạn không quá 06 tháng tính đến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chân dung màu cỡ 3 cm x 4 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giấy chứng nhận đã qua khóa cập nhật kiến thức cho hướng dẫn viên du lịch do Sở Du lịch/Sở Văn hóa, Thể thao và Du lịch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Thẻ hướng dẫn viên du lịch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cấp đổi thẻ hướng dẫn viên du lịch (theo Mẫu số 05 tại Phụ lục II ban hành kèm theo Thông tư số 04/2024/TT-BVHTTDL ngày 26 tháng 6 năm 2024) ;</w:t>
            </w:r>
          </w:p>
        </w:tc>
        <w:tc>
          <w:p/>
          <w:p>
            <w:pPr>
              <w:spacing w:after="0" w:before="0" w:lineRule="auto" w:line="276"/>
              <w:jc w:val="left"/>
            </w:pPr>
            <w:r>
              <w:rPr>
                <w:rFonts w:ascii="Times New Roman" w:hAnsi="Times New Roman" w:cs="Times New Roman" w:eastAsia="Times New Roman"/>
                <w:b w:val="false"/>
                <w:sz w:val="26"/>
              </w:rPr>
              <w:t>Cac mau 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có xác nhận của Ủy ban nhân dân cấp xã nơi cư trú (không yêu cầu nộp trong trường hợp đã có cơ sở dữ liệu về cư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hướng dẫn viên du lịch quốc tế, Thẻ hướng dẫn viên du lịch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06/2017/TT-BVHTTDL</w:t>
            </w:r>
          </w:p>
        </w:tc>
        <w:tc>
          <w:p/>
          <w:p>
            <w:pPr>
              <w:spacing w:after="0" w:before="0" w:lineRule="auto" w:line="276"/>
              <w:jc w:val="left"/>
            </w:pPr>
            <w:r>
              <w:rPr>
                <w:rFonts w:ascii="Times New Roman" w:hAnsi="Times New Roman" w:cs="Times New Roman" w:eastAsia="Times New Roman"/>
                <w:b w:val="false"/>
                <w:sz w:val="26"/>
              </w:rPr>
              <w:t>Thông tư 06/2017/TT-BVHTTDL-Thông tư quy định chi tiết một số điều của Luật Du lịch.</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33/2018/TT-BTC</w:t>
            </w:r>
          </w:p>
        </w:tc>
        <w:tc>
          <w:p/>
          <w:p>
            <w:pPr>
              <w:spacing w:after="0" w:before="0" w:lineRule="auto" w:line="276"/>
              <w:jc w:val="left"/>
            </w:pPr>
            <w:r>
              <w:rPr>
                <w:rFonts w:ascii="Times New Roman" w:hAnsi="Times New Roman" w:cs="Times New Roman" w:eastAsia="Times New Roman"/>
                <w:b w:val="false"/>
                <w:sz w:val="26"/>
              </w:rPr>
              <w:t>Thông tư 33/2018/TT-BTC</w:t>
            </w:r>
          </w:p>
        </w:tc>
        <w:tc>
          <w:p/>
          <w:p>
            <w:pPr>
              <w:spacing w:after="0" w:before="0" w:lineRule="auto" w:line="276"/>
              <w:jc w:val="left"/>
            </w:pPr>
            <w:r>
              <w:rPr>
                <w:rFonts w:ascii="Times New Roman" w:hAnsi="Times New Roman" w:cs="Times New Roman" w:eastAsia="Times New Roman"/>
                <w:b w:val="false"/>
                <w:sz w:val="26"/>
              </w:rPr>
              <w:t>30-03-2018</w:t>
            </w:r>
          </w:p>
        </w:tc>
        <w:tc>
          <w:p/>
        </w:tc>
      </w:tr>
      <w:tr>
        <w:tc>
          <w:p/>
          <w:p>
            <w:pPr>
              <w:spacing w:after="0" w:before="0" w:lineRule="auto" w:line="276"/>
              <w:jc w:val="left"/>
            </w:pPr>
            <w:r>
              <w:rPr>
                <w:rFonts w:ascii="Times New Roman" w:hAnsi="Times New Roman" w:cs="Times New Roman" w:eastAsia="Times New Roman"/>
                <w:b w:val="false"/>
                <w:sz w:val="26"/>
              </w:rPr>
              <w:t>09/2017/QH14</w:t>
            </w:r>
          </w:p>
        </w:tc>
        <w:tc>
          <w:p/>
          <w:p>
            <w:pPr>
              <w:spacing w:after="0" w:before="0" w:lineRule="auto" w:line="276"/>
              <w:jc w:val="left"/>
            </w:pPr>
            <w:r>
              <w:rPr>
                <w:rFonts w:ascii="Times New Roman" w:hAnsi="Times New Roman" w:cs="Times New Roman" w:eastAsia="Times New Roman"/>
                <w:b w:val="false"/>
                <w:sz w:val="26"/>
              </w:rPr>
              <w:t>Luật Du lịch 09//2017/QH14</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02-01-2013</w:t>
            </w:r>
          </w:p>
        </w:tc>
        <w:tc>
          <w:p/>
        </w:tc>
      </w:tr>
      <w:tr>
        <w:tc>
          <w:p/>
          <w:p>
            <w:pPr>
              <w:spacing w:after="0" w:before="0" w:lineRule="auto" w:line="276"/>
              <w:jc w:val="left"/>
            </w:pPr>
            <w:r>
              <w:rPr>
                <w:rFonts w:ascii="Times New Roman" w:hAnsi="Times New Roman" w:cs="Times New Roman" w:eastAsia="Times New Roman"/>
                <w:b w:val="false"/>
                <w:sz w:val="26"/>
              </w:rPr>
              <w:t>35/2020/TT-BTC</w:t>
            </w:r>
          </w:p>
        </w:tc>
        <w:tc>
          <w:p/>
          <w:p>
            <w:pPr>
              <w:spacing w:after="0" w:before="0" w:lineRule="auto" w:line="276"/>
              <w:jc w:val="left"/>
            </w:pPr>
            <w:r>
              <w:rPr>
                <w:rFonts w:ascii="Times New Roman" w:hAnsi="Times New Roman" w:cs="Times New Roman" w:eastAsia="Times New Roman"/>
                <w:b w:val="false"/>
                <w:sz w:val="26"/>
              </w:rPr>
              <w:t>Thông tư 35/2020/TT-BTC</w:t>
            </w:r>
          </w:p>
        </w:tc>
        <w:tc>
          <w:p/>
          <w:p>
            <w:pPr>
              <w:spacing w:after="0" w:before="0" w:lineRule="auto" w:line="276"/>
              <w:jc w:val="left"/>
            </w:pPr>
            <w:r>
              <w:rPr>
                <w:rFonts w:ascii="Times New Roman" w:hAnsi="Times New Roman" w:cs="Times New Roman" w:eastAsia="Times New Roman"/>
                <w:b w:val="false"/>
                <w:sz w:val="26"/>
              </w:rPr>
              <w:t>05-05-2020</w:t>
            </w:r>
          </w:p>
        </w:tc>
        <w:tc>
          <w:p/>
        </w:tc>
      </w:tr>
      <w:tr>
        <w:tc>
          <w:p/>
          <w:p>
            <w:pPr>
              <w:spacing w:after="0" w:before="0" w:lineRule="auto" w:line="276"/>
              <w:jc w:val="left"/>
            </w:pPr>
            <w:r>
              <w:rPr>
                <w:rFonts w:ascii="Times New Roman" w:hAnsi="Times New Roman" w:cs="Times New Roman" w:eastAsia="Times New Roman"/>
                <w:b w:val="false"/>
                <w:sz w:val="26"/>
              </w:rPr>
              <w:t>04/2024/TT-BVHTTDL</w:t>
            </w:r>
          </w:p>
        </w:tc>
        <w:tc>
          <w:p/>
          <w:p>
            <w:pPr>
              <w:spacing w:after="0" w:before="0" w:lineRule="auto" w:line="276"/>
              <w:jc w:val="left"/>
            </w:pPr>
            <w:r>
              <w:rPr>
                <w:rFonts w:ascii="Times New Roman" w:hAnsi="Times New Roman" w:cs="Times New Roman" w:eastAsia="Times New Roman"/>
                <w:b w:val="false"/>
                <w:sz w:val="26"/>
              </w:rPr>
              <w:t>Thông tư của Bộ trưởng Bộ VHTTDL</w:t>
            </w:r>
          </w:p>
        </w:tc>
        <w:tc>
          <w:p/>
          <w:p>
            <w:pPr>
              <w:spacing w:after="0" w:before="0" w:lineRule="auto" w:line="276"/>
              <w:jc w:val="left"/>
            </w:pPr>
            <w:r>
              <w:rPr>
                <w:rFonts w:ascii="Times New Roman" w:hAnsi="Times New Roman" w:cs="Times New Roman" w:eastAsia="Times New Roman"/>
                <w:b w:val="false"/>
                <w:sz w:val="26"/>
              </w:rPr>
              <w:t>26-06-2024</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Bảo đảm duy trì các điều kiện cấp thẻ:
(1) Có quốc tịch Việt Nam, thường trú tại Việt Nam;
(2) Có năng lực hành vi dân sự đầy đủ;
(3) Không mắc bệnh truyền nhiễm, không sử dụng chất ma túy; 
(4) Hướng dẫn viên du lịch nội địa tốt nghiệp trung cấp trở lên chuyên ngành hướng dẫn du lịch; trường hợp tốt nghiệp trung cấp trở lên chuyên ngành khác phải có chứng chỉ nghiệp vụ hướng dẫn du lịch nội địa. Hướng dẫn viên du lịch quốc tế tốt nghiệp cao đẳng trở lên chuyên ngành hướng dẫn du lịch; trường hợp tốt nghiệp cao đẳng trở lên chuyên ngành khác phải có chứng chỉ nghiệp vụ hướng dẫn du lịch quốc tế;
(5) Sử dụng thành thạo ngoại ngữ đăng ký hành nghề (đối với hướng dẫn viên du lịch quốc tế): đáp ứng một trong các tiêu chuẩn sau:
- Có bằng tốt nghiệp từ cao đẳng trở lên ngành ngôn ngữ hoặc tiếng nước ngoài, ngành phiên dịch tiếng nước ngoài, ngành sư phạm tiếng nước ngoài; 
- Có bằng tốt nghiệp từ cao đẳng trở lên theo chương trình đào tạo bằng ngôn ngữ hoặc tiếng nước ngoài. Trường hợp văn bằng hoặc phụ lục văn bằng không thể hiện ngôn ngữ đào tạo, cần bổ sung giấy tờ chứng minh ngôn ngữ được sử dụng để đào tạo;
- Có bằng tốt nghiệp từ cao đẳng trở lên ở nước ngoài theo chương trình đào tạo bằng ngôn ngữ chính thức của nước sở tại. Trường hợp được đào tạo bằng ngôn ngữ khác với ngôn ngữ chính thức của nước sở tại, văn bằng hoặc phụ lục văn bằng không thể hiện ngôn ngữ đào tạo, cần bổ sung giấy tờ chứng minh ngôn ngữ được sử dụng để đào tạo;
- Có một trong các chứng chỉ ngoại ngữ còn thời hạn do tổ chức, cơ quan có thẩm quyền cấp gồm: Chứng chỉ ngoại ngữ từ bậc 4 trở lên theo Khung năng lực ngoại ngữ 6 bậc dùng cho Việt Nam; chứng chỉ năng lực ngoại ngữ của nước ngoài tương đương từ bậc 4 trở lên theo Khu năng lực ngoại ngữ 6 bậc dung cho Việt Nam hoặc tương đương từ bậc B2 trở lên theo Khung tham chiếu chung châu Âu hoặc đạt mức yêu cầu theo quy định tại Phụ lục I Thông tư số 04/2024/TT-BVHTTDL ngày 26 tháng 6 năm 2024 của Bộ trưởng Bộ Văn hóa, Thể thao và Du lịch.
Văn bằng do cơ sở đào tạo nước ngoài cấp phải được công nhận theo quy định của pháp luật về giáo dục, giáo dục đại học và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2025-11-27T16:38:05Z</dcterms:created>
  <dc:creator>Apache POI</dc:creator>
</cp:coreProperties>
</file>