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1.001437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6968/QĐ-BCA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Khai báo tạm trú cho người nước ngoài tại Việt Nam qua Trang thông tin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khai báo tạm trú đăng ký tài khoản khai báo tạm trú tại Trang thông tin điện tử về khai báo tạm trú của Cơ quan Quản lý xuất nhập cảnh Công an cấp tỉnh nơi đặt cơ sở lưu trú (sau đây gọi là Trang thông tin điện tử) hoặc Cổng dịch vụ công quốc gia hoặc Cổng dịch vụ công Bộ Công an.</w:t>
      </w:r>
    </w:p>
    <w:p>
      <w:pPr>
        <w:spacing w:after="0" w:before="0" w:lineRule="auto" w:line="276"/>
        <w:jc w:val="both"/>
      </w:pPr>
      <w:r>
        <w:rPr>
          <w:rFonts w:ascii="Times New Roman" w:hAnsi="Times New Roman" w:cs="Times New Roman" w:eastAsia="Times New Roman"/>
          <w:b w:val="false"/>
          <w:sz w:val="26"/>
        </w:rPr>
        <w:t>Bước 2: Đăng nhập vào Trang thông tin điện tử hoặc Cổng dịch vụ công quốc gia hoặc Cổng dịch vụ công Bộ Công an bằng tài khoản và mật khẩu đã được cấp.</w:t>
      </w:r>
    </w:p>
    <w:p>
      <w:pPr>
        <w:spacing w:after="0" w:before="0" w:lineRule="auto" w:line="276"/>
        <w:jc w:val="both"/>
      </w:pPr>
      <w:r>
        <w:rPr>
          <w:rFonts w:ascii="Times New Roman" w:hAnsi="Times New Roman" w:cs="Times New Roman" w:eastAsia="Times New Roman"/>
          <w:b w:val="false"/>
          <w:sz w:val="26"/>
        </w:rPr>
        <w:t>Bước 3: Người khai báo tạm trú thực hiện nhập và kiểm tra các thông tin khai báo về người nước ngoài hoặc chuyển tập tin nhập đính kèm theo mẫu được đăng tải trên Trang thông tin điện tử hoặc Cổng dịch vụ công quốc gia hoặc Cổng dịch vụ công Bộ Công an.</w:t>
      </w:r>
    </w:p>
    <w:p>
      <w:pPr>
        <w:spacing w:after="0" w:before="0" w:lineRule="auto" w:line="276"/>
        <w:jc w:val="both"/>
      </w:pPr>
      <w:r>
        <w:rPr>
          <w:rFonts w:ascii="Times New Roman" w:hAnsi="Times New Roman" w:cs="Times New Roman" w:eastAsia="Times New Roman"/>
          <w:b w:val="false"/>
          <w:sz w:val="26"/>
        </w:rPr>
        <w:t>Bước 4: Kiểm tra thông tin đã khai báo tạm trú trên hệ thống và hoàn thành việc khai báo tạm trú.</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24 giờ/07 ngày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tuyến qua Trang thông tin điện tử hoặc Cổng dịch vụ công quốc gia hoặc Cổng dịch vụ công Bộ Công an.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thực hiện khai báo theo các trường thông tin trên Trang thông tin điện tử hoặc Cổng dịch vụ công quốc gia hoặc Cổng dịch vụ công Bộ Công 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Công an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quản lý xuất nhập cảnh, Công an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Trang thông tin điện tử của Phòng Quản lý xuất nhập cảnh Công an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tin tạm trú của người nước ngoài được cập nhật và lưu trên hệ thống Trang thông tin điện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47/2014/QH13</w:t>
            </w:r>
          </w:p>
        </w:tc>
        <w:tc>
          <w:p/>
          <w:p>
            <w:pPr>
              <w:spacing w:after="0" w:before="0" w:lineRule="auto" w:line="276"/>
              <w:jc w:val="left"/>
            </w:pPr>
            <w:r>
              <w:rPr>
                <w:rFonts w:ascii="Times New Roman" w:hAnsi="Times New Roman" w:cs="Times New Roman" w:eastAsia="Times New Roman"/>
                <w:b w:val="false"/>
                <w:sz w:val="26"/>
              </w:rPr>
              <w:t>Nhập cảnh, xuất cảnh, quá cảnh, cư trú của người nước ngoài tại Việt Nam</w:t>
            </w:r>
          </w:p>
        </w:tc>
        <w:tc>
          <w:p/>
          <w:p>
            <w:pPr>
              <w:spacing w:after="0" w:before="0" w:lineRule="auto" w:line="276"/>
              <w:jc w:val="left"/>
            </w:pPr>
            <w:r>
              <w:rPr>
                <w:rFonts w:ascii="Times New Roman" w:hAnsi="Times New Roman" w:cs="Times New Roman" w:eastAsia="Times New Roman"/>
                <w:b w:val="false"/>
                <w:sz w:val="26"/>
              </w:rPr>
              <w:t>16-06-2014</w:t>
            </w:r>
          </w:p>
        </w:tc>
        <w:tc>
          <w:p/>
        </w:tc>
      </w:tr>
      <w:tr>
        <w:tc>
          <w:p/>
          <w:p>
            <w:pPr>
              <w:spacing w:after="0" w:before="0" w:lineRule="auto" w:line="276"/>
              <w:jc w:val="left"/>
            </w:pPr>
            <w:r>
              <w:rPr>
                <w:rFonts w:ascii="Times New Roman" w:hAnsi="Times New Roman" w:cs="Times New Roman" w:eastAsia="Times New Roman"/>
                <w:b w:val="false"/>
                <w:sz w:val="26"/>
              </w:rPr>
              <w:t>51/2019/QH14</w:t>
            </w:r>
          </w:p>
        </w:tc>
        <w:tc>
          <w:p/>
          <w:p>
            <w:pPr>
              <w:spacing w:after="0" w:before="0" w:lineRule="auto" w:line="276"/>
              <w:jc w:val="left"/>
            </w:pPr>
            <w:r>
              <w:rPr>
                <w:rFonts w:ascii="Times New Roman" w:hAnsi="Times New Roman" w:cs="Times New Roman" w:eastAsia="Times New Roman"/>
                <w:b w:val="false"/>
                <w:sz w:val="26"/>
              </w:rPr>
              <w:t>Luật 51/2019/QH14</w:t>
            </w:r>
          </w:p>
        </w:tc>
        <w:tc>
          <w:p/>
          <w:p>
            <w:pPr>
              <w:spacing w:after="0" w:before="0" w:lineRule="auto" w:line="276"/>
              <w:jc w:val="left"/>
            </w:pPr>
            <w:r>
              <w:rPr>
                <w:rFonts w:ascii="Times New Roman" w:hAnsi="Times New Roman" w:cs="Times New Roman" w:eastAsia="Times New Roman"/>
                <w:b w:val="false"/>
                <w:sz w:val="26"/>
              </w:rPr>
              <w:t>25-11-2019</w:t>
            </w:r>
          </w:p>
        </w:tc>
        <w:tc>
          <w:p/>
        </w:tc>
      </w:tr>
      <w:tr>
        <w:tc>
          <w:p/>
          <w:p>
            <w:pPr>
              <w:spacing w:after="0" w:before="0" w:lineRule="auto" w:line="276"/>
              <w:jc w:val="left"/>
            </w:pPr>
            <w:r>
              <w:rPr>
                <w:rFonts w:ascii="Times New Roman" w:hAnsi="Times New Roman" w:cs="Times New Roman" w:eastAsia="Times New Roman"/>
                <w:b w:val="false"/>
                <w:sz w:val="26"/>
              </w:rPr>
              <w:t>53/2016/TT-BCA</w:t>
            </w:r>
          </w:p>
        </w:tc>
        <w:tc>
          <w:p/>
          <w:p>
            <w:pPr>
              <w:spacing w:after="0" w:before="0" w:lineRule="auto" w:line="276"/>
              <w:jc w:val="left"/>
            </w:pPr>
            <w:r>
              <w:rPr>
                <w:rFonts w:ascii="Times New Roman" w:hAnsi="Times New Roman" w:cs="Times New Roman" w:eastAsia="Times New Roman"/>
                <w:b w:val="false"/>
                <w:sz w:val="26"/>
              </w:rPr>
              <w:t>Thông tư 53/2016/TT-BCA</w:t>
            </w:r>
          </w:p>
        </w:tc>
        <w:tc>
          <w:p/>
          <w:p>
            <w:pPr>
              <w:spacing w:after="0" w:before="0" w:lineRule="auto" w:line="276"/>
              <w:jc w:val="left"/>
            </w:pPr>
            <w:r>
              <w:rPr>
                <w:rFonts w:ascii="Times New Roman" w:hAnsi="Times New Roman" w:cs="Times New Roman" w:eastAsia="Times New Roman"/>
                <w:b w:val="false"/>
                <w:sz w:val="26"/>
              </w:rPr>
              <w:t>28-12-2016</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Thực hiện khai báo ngay khi người nước ngoài đến đăng ký tạm trú.</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https://thutuc.dichvucong.gov.vn/p/home/dvc-tthc-thu-tuc-hanh-chinh-chi-tiet.html?ma_thu_tuc=2103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2025-11-27T16:38:05Z</dcterms:created>
  <dc:creator>Apache POI</dc:creator>
</cp:coreProperties>
</file>