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1.001451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559/QĐ-BNNMT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tín chỉ cho dự án JCM (TTHC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Biến đổi khí hậu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Các bên tham gia dự án JCM gửi hồ sơ đề nghị cấp tín chỉ đến Tổ thư ký qua thư điện tử.</w:t>
      </w:r>
    </w:p>
    <w:p>
      <w:pPr>
        <w:spacing w:after="0" w:before="0" w:lineRule="auto" w:line="276"/>
        <w:jc w:val="both"/>
      </w:pPr>
      <w:r>
        <w:rPr>
          <w:rFonts w:ascii="Times New Roman" w:hAnsi="Times New Roman" w:cs="Times New Roman" w:eastAsia="Times New Roman"/>
          <w:b w:val="false"/>
          <w:sz w:val="26"/>
        </w:rPr>
        <w:t>Sau khi nhận được hồ sơ đề nghị cấp tín chỉ, Tổ thư ký thông báo qua thư điện tử cho bên xây dựng dự án việc tiếp nhận hồ sơ.</w:t>
      </w:r>
    </w:p>
    <w:p>
      <w:pPr>
        <w:spacing w:after="0" w:before="0" w:lineRule="auto" w:line="276"/>
        <w:jc w:val="both"/>
      </w:pPr>
      <w:r>
        <w:rPr>
          <w:rFonts w:ascii="Times New Roman" w:hAnsi="Times New Roman" w:cs="Times New Roman" w:eastAsia="Times New Roman"/>
          <w:b w:val="false"/>
          <w:sz w:val="26"/>
        </w:rPr>
        <w:t>Trong thời hạn không quá bảy (07) ngày, Tổ thư ký thông báo cho bên xây dựng dự án và TPE của dự án về tính hợp lệ và đầy đủ của hồ sơ qua thư điện tử.</w:t>
      </w:r>
    </w:p>
    <w:p>
      <w:pPr>
        <w:spacing w:after="0" w:before="0" w:lineRule="auto" w:line="276"/>
        <w:jc w:val="both"/>
      </w:pPr>
      <w:r>
        <w:rPr>
          <w:rFonts w:ascii="Times New Roman" w:hAnsi="Times New Roman" w:cs="Times New Roman" w:eastAsia="Times New Roman"/>
          <w:b w:val="false"/>
          <w:sz w:val="26"/>
        </w:rPr>
        <w:t>Đối với hồ sơ đầy đủ và hợp lệ, Tổ thư ký trình Ủy ban Hỗn hợp xem xét, quyết định về lượng tín chỉ sẽ được cấp.</w:t>
      </w:r>
    </w:p>
    <w:p>
      <w:pPr>
        <w:spacing w:after="0" w:before="0" w:lineRule="auto" w:line="276"/>
        <w:jc w:val="both"/>
      </w:pPr>
      <w:r>
        <w:rPr>
          <w:rFonts w:ascii="Times New Roman" w:hAnsi="Times New Roman" w:cs="Times New Roman" w:eastAsia="Times New Roman"/>
          <w:b w:val="false"/>
          <w:sz w:val="26"/>
        </w:rPr>
        <w:t>Sau khi có quyết định của Ủy ban Hỗn hợp, Tổ Thư ký thông báo qua thư điện tử kết quả cấp tín chỉ cho các bên tham gia dự án và TPE</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Tùy thuộc vào giai đoạn xử lý hồ sơ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không quá bảy (07) ngày, Tổ thư ký thông báo cho bên xây dựng dự án và TPE của dự án về tính hợp lệ và đầy đủ của hồ sơ qua thư điện tử.
- Đối với hồ sơ đầy đủ và hợp lệ, Tổ thư ký trình Ủy ban Hỗn hợp xem xét, quyết định về lượng tín chỉ sẽ được cấp.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tín chỉ của bên tham gia dự án bằng tiếng Việt và tiếng Anh (theo mẫu quy định tại Phụ lục 13 và 13a ban hành kèm theo Thông tư số 17/2015/TT-BTNMT ngày 06 tháng 4 năm 2015 của Bộ Tài nguyên và Môi trường quy định việc xây dựng và thực hiện dự án theo Cơ chế tín chỉ chung trong khuôn khổ hợp tác Việt Nam và Nhật Bản);</w:t>
            </w:r>
          </w:p>
        </w:tc>
        <w:tc>
          <w:p/>
          <w:p>
            <w:pPr>
              <w:spacing w:after="0" w:before="0" w:lineRule="auto" w:line="276"/>
              <w:jc w:val="left"/>
            </w:pPr>
            <w:r>
              <w:rPr>
                <w:rFonts w:ascii="Times New Roman" w:hAnsi="Times New Roman" w:cs="Times New Roman" w:eastAsia="Times New Roman"/>
                <w:b w:val="false"/>
                <w:sz w:val="26"/>
              </w:rPr>
              <w:t>Mẫu 25.docx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giám sát dự án do chủ dự án thực hiện;</w:t>
            </w:r>
          </w:p>
        </w:tc>
        <w:tc>
          <w:p/>
          <w:p>
            <w:pPr>
              <w:spacing w:after="0" w:before="0" w:lineRule="auto" w:line="276"/>
              <w:jc w:val="left"/>
            </w:pPr>
            <w:r>
              <w:rPr>
                <w:rFonts w:ascii="Times New Roman" w:hAnsi="Times New Roman" w:cs="Times New Roman" w:eastAsia="Times New Roman"/>
                <w:b w:val="false"/>
                <w:sz w:val="26"/>
              </w:rPr>
              <w:t>Mẫu 28.docx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thẩm tra dự án của TPE bằng tiếng Việt và tiếng Anh (theo mẫu quy định tại Phụ lục 14 và 14a ban hành kèm theo Thông tư số 17/2015/TT-BTNMT ngày 06 tháng 4 năm 2015 của Bộ Tài nguyên và Môi trường quy định việc xây dựng và thực hiện dự án theo Cơ chế tín chỉ chung trong khuôn khổ hợp tác Việt Nam và Nhật Bản).</w:t>
            </w:r>
          </w:p>
        </w:tc>
        <w:tc>
          <w:p/>
          <w:p>
            <w:pPr>
              <w:spacing w:after="0" w:before="0" w:lineRule="auto" w:line="276"/>
              <w:jc w:val="left"/>
            </w:pPr>
            <w:r>
              <w:rPr>
                <w:rFonts w:ascii="Times New Roman" w:hAnsi="Times New Roman" w:cs="Times New Roman" w:eastAsia="Times New Roman"/>
                <w:b w:val="false"/>
                <w:sz w:val="26"/>
              </w:rPr>
              <w:t>Mẫu 27.docx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hỗ trợ của cơ chế JCM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hỗ trợ của cơ chế JCM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tin về việc cấp tín chỉ được đăng trên trang thông tin điện tử của JCM.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17/2015/TT-BTNMT	17/2015/TT-BTNMT</w:t>
            </w:r>
          </w:p>
        </w:tc>
        <w:tc>
          <w:p/>
          <w:p>
            <w:pPr>
              <w:spacing w:after="0" w:before="0" w:lineRule="auto" w:line="276"/>
              <w:jc w:val="left"/>
            </w:pPr>
            <w:r>
              <w:rPr>
                <w:rFonts w:ascii="Times New Roman" w:hAnsi="Times New Roman" w:cs="Times New Roman" w:eastAsia="Times New Roman"/>
                <w:b w:val="false"/>
                <w:sz w:val="26"/>
              </w:rPr>
              <w:t>Quy định việc xây dựng và thực hiện dự án theo Cơ chế tín chỉ chung trong khuôn khổ hợp tác Việt Nam và Nhật Bản</w:t>
            </w:r>
          </w:p>
        </w:tc>
        <w:tc>
          <w:p/>
          <w:p>
            <w:pPr>
              <w:spacing w:after="0" w:before="0" w:lineRule="auto" w:line="276"/>
              <w:jc w:val="left"/>
            </w:pPr>
            <w:r>
              <w:rPr>
                <w:rFonts w:ascii="Times New Roman" w:hAnsi="Times New Roman" w:cs="Times New Roman" w:eastAsia="Times New Roman"/>
                <w:b w:val="false"/>
                <w:sz w:val="26"/>
              </w:rPr>
              <w:t>06-04-2015</w:t>
            </w:r>
          </w:p>
        </w:tc>
        <w:tc>
          <w:p/>
          <w:p>
            <w:pPr>
              <w:spacing w:after="0" w:before="0" w:lineRule="auto" w:line="276"/>
              <w:jc w:val="left"/>
            </w:pPr>
            <w:r>
              <w:rPr>
                <w:rFonts w:ascii="Times New Roman" w:hAnsi="Times New Roman" w:cs="Times New Roman" w:eastAsia="Times New Roman"/>
                <w:b w:val="false"/>
                <w:sz w:val="26"/>
              </w:rPr>
              <w:t>Bộ Tài nguyên và Môi trường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https://thutuc.dichvucong.gov.vn/p/home/dvc-tthc-thu-tuc-hanh-chinh-chi-tiet.html?ma_thu_tuc=2123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2025-11-27T16:38:19Z</dcterms:created>
  <dc:creator>Apache POI</dc:creator>
</cp:coreProperties>
</file>