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Số 4874/QĐ-BVHTTDL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công nhận cơ sở kinh doanh dịch vụ chăm sóc sức khỏe đạt tiêu chuẩn phục vụ khách du lịch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Du lịch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kinh doanh dịch vụ chăm sóc sức khỏe được tự nguyện đăng ký công nhận cơ sở kinh doanh dịch vụ chăm sóc sức khỏe đạt tiêu chuẩn phục vụ khách du lịch với cơ quan nhà nước có thẩm quyền.</w:t>
      </w:r>
    </w:p>
    <w:p>
      <w:pPr>
        <w:spacing w:after="0" w:before="0" w:lineRule="auto" w:line="276"/>
        <w:jc w:val="both"/>
      </w:pPr>
      <w:r>
        <w:rPr>
          <w:rFonts w:ascii="Times New Roman" w:hAnsi="Times New Roman" w:cs="Times New Roman" w:eastAsia="Times New Roman"/>
          <w:b w:val="false"/>
          <w:sz w:val="26"/>
        </w:rPr>
        <w:t>-  Tổ chức, cá nhân kinh doanh dịch vụ chăm sóc sức khỏe nộp hồ sơ đến Sở Du lịch/Sở Văn hóa, Thể thao và Du lịch nơi đặt cơ sở kinh doanh;</w:t>
      </w:r>
    </w:p>
    <w:p>
      <w:pPr>
        <w:spacing w:after="0" w:before="0" w:lineRule="auto" w:line="276"/>
        <w:jc w:val="both"/>
      </w:pPr>
      <w:r>
        <w:rPr>
          <w:rFonts w:ascii="Times New Roman" w:hAnsi="Times New Roman" w:cs="Times New Roman" w:eastAsia="Times New Roman"/>
          <w:b w:val="false"/>
          <w:sz w:val="26"/>
        </w:rPr>
        <w:t>- Trong thời hạn 20 ngày kể từ ngày nhận được hồ sơ hợp lệ, Sở Du lịch/Sở Văn hóa, Thể thao và Du lịch thẩm định và công nhận; trường hợp không công nhận,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Lệ phí : 1.000.000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Lệ phí : 1.000.000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Lệ phí : 1.000.000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thuyết minh đáp ứng các tiêu chuẩn phục vụ khách du lịch.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công nhận cơ sở  đạt tiêu chuẩn phục vụ khách du lịch  (Mẫu số 10 Phụ lục II ban hành kèm theo Thông tư số 06/2017/TT-BVHTTDL ngày 15 tháng 12 năm 2017 được sửa đổi tại điểm b khoản 1 điều 2 Thông tư số 04/2024/TT-BVHTTDL ngày 26/6/2024)</w:t>
            </w:r>
          </w:p>
        </w:tc>
        <w:tc>
          <w:p/>
          <w:p>
            <w:pPr>
              <w:spacing w:after="0" w:before="0" w:lineRule="auto" w:line="276"/>
              <w:jc w:val="left"/>
            </w:pPr>
            <w:r>
              <w:rPr>
                <w:rFonts w:ascii="Times New Roman" w:hAnsi="Times New Roman" w:cs="Times New Roman" w:eastAsia="Times New Roman"/>
                <w:b w:val="false"/>
                <w:sz w:val="26"/>
              </w:rPr>
              <w:t>Don de nghi.docx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cơ sở kinh doanh dịch vụ chăm sóc sức khỏe đạt tiêu chuẩn phục vụ khách du lịch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09/2017/QH1409/2017/QH14 </w:t>
            </w:r>
          </w:p>
        </w:tc>
        <w:tc>
          <w:p/>
          <w:p>
            <w:pPr>
              <w:spacing w:after="0" w:before="0" w:lineRule="auto" w:line="276"/>
              <w:jc w:val="left"/>
            </w:pPr>
            <w:r>
              <w:rPr>
                <w:rFonts w:ascii="Times New Roman" w:hAnsi="Times New Roman" w:cs="Times New Roman" w:eastAsia="Times New Roman"/>
                <w:b w:val="false"/>
                <w:sz w:val="26"/>
              </w:rPr>
              <w:t>Du lịch</w:t>
            </w:r>
          </w:p>
        </w:tc>
        <w:tc>
          <w:p/>
          <w:p>
            <w:pPr>
              <w:spacing w:after="0" w:before="0" w:lineRule="auto" w:line="276"/>
              <w:jc w:val="left"/>
            </w:pPr>
            <w:r>
              <w:rPr>
                <w:rFonts w:ascii="Times New Roman" w:hAnsi="Times New Roman" w:cs="Times New Roman" w:eastAsia="Times New Roman"/>
                <w:b w:val="false"/>
                <w:sz w:val="26"/>
              </w:rPr>
              <w:t>19-06-2017</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06/2017/TT-BVHTTDL</w:t>
            </w:r>
          </w:p>
        </w:tc>
        <w:tc>
          <w:p/>
          <w:p>
            <w:pPr>
              <w:spacing w:after="0" w:before="0" w:lineRule="auto" w:line="276"/>
              <w:jc w:val="left"/>
            </w:pPr>
            <w:r>
              <w:rPr>
                <w:rFonts w:ascii="Times New Roman" w:hAnsi="Times New Roman" w:cs="Times New Roman" w:eastAsia="Times New Roman"/>
                <w:b w:val="false"/>
                <w:sz w:val="26"/>
              </w:rPr>
              <w:t>Thông tư 06/2017/TT-BVHTTDL-Thông tư quy định chi tiết một số điều của Luật Du lịch.</w:t>
            </w:r>
          </w:p>
        </w:tc>
        <w:tc>
          <w:p/>
          <w:p>
            <w:pPr>
              <w:spacing w:after="0" w:before="0" w:lineRule="auto" w:line="276"/>
              <w:jc w:val="left"/>
            </w:pPr>
            <w:r>
              <w:rPr>
                <w:rFonts w:ascii="Times New Roman" w:hAnsi="Times New Roman" w:cs="Times New Roman" w:eastAsia="Times New Roman"/>
                <w:b w:val="false"/>
                <w:sz w:val="26"/>
              </w:rPr>
              <w:t>15-12-2017</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34/2018/TT-BTC</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Cục Quản lý, giám sát chính sách thuế, phí và lệ phí - Bộ tài chính</w:t>
            </w:r>
          </w:p>
        </w:tc>
      </w:tr>
      <w:tr>
        <w:tc>
          <w:p/>
          <w:p>
            <w:pPr>
              <w:spacing w:after="0" w:before="0" w:lineRule="auto" w:line="276"/>
              <w:jc w:val="left"/>
            </w:pPr>
            <w:r>
              <w:rPr>
                <w:rFonts w:ascii="Times New Roman" w:hAnsi="Times New Roman" w:cs="Times New Roman" w:eastAsia="Times New Roman"/>
                <w:b w:val="false"/>
                <w:sz w:val="26"/>
              </w:rPr>
              <w:t>13/2019/TT-BVHTTDL</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06/2017/TT-BVHTTDL NGÀY 15 THÁNG 12 NĂM 2017 CỦA BỘ TRƯỞNG BỘ VĂN HÓA, THỂ THAO VÀ DU LỊCH QUY ĐỊNH CHI TIẾT MỘT SỐ ĐIỀU CỦA LUẬT DU LỊCH</w:t>
            </w:r>
          </w:p>
        </w:tc>
        <w:tc>
          <w:p/>
          <w:p>
            <w:pPr>
              <w:spacing w:after="0" w:before="0" w:lineRule="auto" w:line="276"/>
              <w:jc w:val="left"/>
            </w:pPr>
            <w:r>
              <w:rPr>
                <w:rFonts w:ascii="Times New Roman" w:hAnsi="Times New Roman" w:cs="Times New Roman" w:eastAsia="Times New Roman"/>
                <w:b w:val="false"/>
                <w:sz w:val="26"/>
              </w:rPr>
              <w:t>25-11-2019</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04/2024/TT-BVHTTDL</w:t>
            </w:r>
          </w:p>
        </w:tc>
        <w:tc>
          <w:p/>
          <w:p>
            <w:pPr>
              <w:spacing w:after="0" w:before="0" w:lineRule="auto" w:line="276"/>
              <w:jc w:val="left"/>
            </w:pPr>
            <w:r>
              <w:rPr>
                <w:rFonts w:ascii="Times New Roman" w:hAnsi="Times New Roman" w:cs="Times New Roman" w:eastAsia="Times New Roman"/>
                <w:b w:val="false"/>
                <w:sz w:val="26"/>
              </w:rPr>
              <w:t>Thông tư của Bộ trưởng Bộ VHTTDL</w:t>
            </w:r>
          </w:p>
        </w:tc>
        <w:tc>
          <w:p/>
          <w:p>
            <w:pPr>
              <w:spacing w:after="0" w:before="0" w:lineRule="auto" w:line="276"/>
              <w:jc w:val="left"/>
            </w:pPr>
            <w:r>
              <w:rPr>
                <w:rFonts w:ascii="Times New Roman" w:hAnsi="Times New Roman" w:cs="Times New Roman" w:eastAsia="Times New Roman"/>
                <w:b w:val="false"/>
                <w:sz w:val="26"/>
              </w:rPr>
              <w:t>26-06-2024</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Yêu cầu, điều kiện thực hiện thủ tục hành chính: 
 (1) Có đăng ký kinh doanh và bảo đảm các điều kiện kinh doanh đối với dịch vụ vui chơi, giải trí theo quy định của pháp luật;
 (2) Có nội quy; có nơi đón tiếp, gửi đồ dùng cá nhân;
 (3) Có địa điểm, cơ sở vật chất, dụng cụ, phương tiện phù hợp với từng loại dịch vụ vui chơi giải trí;
 (4) Có người hướng dẫn, nhân viên phục vụ phù hợp với từng dịch vụ vui chơi, giải trí;
 (5) Nhân viên có thái độ phục vụ văn minh, lịch sự; mặc đồng phục và đeo biển tên trên áo; 
 (6) Niêm yết giá, bán đúng giá niêm yết.
 (7) Có nhà vệ sinh sạch sẽ, được thông gió và đủ ánh sáng.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2025-11-27T16:38:20Z</dcterms:created>
  <dc:creator>Apache POI</dc:creator>
</cp:coreProperties>
</file>