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1762/QĐ-NHNN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khoản cho vay ra nước ngoài của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gian 30 ngày kể từ ngày ký thỏa thuận cho vay và trước khi thực hiện giải ngân cho vay, bên cho vay gửi 01 bộ hồ sơ đăng ký khoản cho vay ra nước ngoài đến Ngân hàng Nhà nước (Cục Quản lý ngoại hối)</w:t>
      </w:r>
    </w:p>
    <w:p>
      <w:pPr>
        <w:spacing w:after="0" w:before="0" w:lineRule="auto" w:line="276"/>
        <w:jc w:val="both"/>
      </w:pPr>
      <w:r>
        <w:rPr>
          <w:rFonts w:ascii="Times New Roman" w:hAnsi="Times New Roman" w:cs="Times New Roman" w:eastAsia="Times New Roman"/>
          <w:b w:val="false"/>
          <w:sz w:val="26"/>
        </w:rPr>
        <w:t>Bước 2: Ngân hàng Nhà nước xem xét, kiểm tra tính đầy đủ, hợp lệ của hồ sơ. Trường hợp hồ sơ chưa đầy đủ, chưa hợp lệ hoặc cần thêm thông tin, Ngân hàng Nhà nước có văn bản yêu cầu Bên cho vay bổ sung tài liệu</w:t>
      </w:r>
    </w:p>
    <w:p>
      <w:pPr>
        <w:spacing w:after="0" w:before="0" w:lineRule="auto" w:line="276"/>
        <w:jc w:val="both"/>
      </w:pPr>
      <w:r>
        <w:rPr>
          <w:rFonts w:ascii="Times New Roman" w:hAnsi="Times New Roman" w:cs="Times New Roman" w:eastAsia="Times New Roman"/>
          <w:b w:val="false"/>
          <w:sz w:val="26"/>
        </w:rPr>
        <w:t>Bước 3 : Trong thời gian ba mươi (30) ngày kể từ ngày nhận được hồ sơ đầy đủ, hợp lệ, Ngân hàng Nhà nước có văn bản xác nhận đăng ký khoản cho vay ra nước ngoài hoặc có văn bản từ chối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pháp lý của Bên cho vay, trong trường hợp người nộp hồ sơ nộp bản sao kèm xuất trình bản chính để đối chiếu, người đối chiếu có trách nhiệm xác nhận tính chính xác của bản sao so với bản chính.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được cấp từ sổ gốc hoặc bản sao có chứng thực hoặc bản sao kèm xuất trình bản chính để đối chiếu Giấy chứng nhận đăng ký kinh doanh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hoặc Quyết định thành lập Bên cho vay theo quy định của pháp luật (nếu có) và các bản sửa đổi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pháp lý của bên đi vay, trường hợp tại các quốc gia/vùng lãnh thổ của bên đi vay không có thủ tục cấp văn bản chấp thuận đầu tư, bên cho vay nộp bản sao được chứng thực từ bản chính và bản dịch tiếng Việt văn bản xác nhận của cơ quan có thẩm quyền của nước tiếp nhận đầu tư về việc đã đăng ký kinh doanh hoặc các giấy tờ có giá trị pháp lý tương đương (áp dụng đối với trường hợp Bên đi vay là doanh nghiệp có sự tham gia góp vốn của doanh nghiệp Việt Nam dưới hình thức đầu tư trực tiếp).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được chứng thực từ bản chính và bản dịch tiếng Việt văn bản chấp thuận đầu tư do cơ quan có thẩm quyền của nước tiếp nhận đầu tư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khoản cho vay ra nước ngoài (theo mẫu tại Phụ lục số 01 kèm theo Thông tư số 37/2013/TT-NHNN)</w:t>
            </w:r>
          </w:p>
        </w:tc>
        <w:tc>
          <w:p/>
          <w:p>
            <w:pPr>
              <w:spacing w:after="0" w:before="0" w:lineRule="auto" w:line="276"/>
              <w:jc w:val="left"/>
            </w:pPr>
            <w:r>
              <w:rPr>
                <w:rFonts w:ascii="Times New Roman" w:hAnsi="Times New Roman" w:cs="Times New Roman" w:eastAsia="Times New Roman"/>
                <w:b w:val="false"/>
                <w:sz w:val="26"/>
              </w:rPr>
              <w:t>Phu luc số 01.TT37.2013.doc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xác nhận của bên cho vay) văn bản chấp thuận của Thủ tướng Chính phủ đối với khoản cho vay ra nước ngoài của tổ chức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về phương án thu xếp ngoại tệ của tổ chức kinh tế để cho vay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và bản dịch ra tiếng Việt (có xác nhận của Bên cho vay) thỏa thuận cho vay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và bản dịch ra tiếng Việt (có xác nhận của Bên cho vay) các văn bản, thỏa thuận bảo lãnh, bảo đảm khoản cho vay ra nước ngoài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khoản cho vay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29/2015/TT-NHNN</w:t>
            </w:r>
          </w:p>
        </w:tc>
        <w:tc>
          <w:p/>
          <w:p>
            <w:pPr>
              <w:spacing w:after="0" w:before="0" w:lineRule="auto" w:line="276"/>
              <w:jc w:val="left"/>
            </w:pPr>
            <w:r>
              <w:rPr>
                <w:rFonts w:ascii="Times New Roman" w:hAnsi="Times New Roman" w:cs="Times New Roman" w:eastAsia="Times New Roman"/>
                <w:b w:val="false"/>
                <w:sz w:val="26"/>
              </w:rPr>
              <w:t>Thông tư 29/2015/TT-NHNN</w:t>
            </w:r>
          </w:p>
        </w:tc>
        <w:tc>
          <w:p/>
          <w:p>
            <w:pPr>
              <w:spacing w:after="0" w:before="0" w:lineRule="auto" w:line="276"/>
              <w:jc w:val="left"/>
            </w:pPr>
            <w:r>
              <w:rPr>
                <w:rFonts w:ascii="Times New Roman" w:hAnsi="Times New Roman" w:cs="Times New Roman" w:eastAsia="Times New Roman"/>
                <w:b w:val="false"/>
                <w:sz w:val="26"/>
              </w:rPr>
              <w:t>22-12-2015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37/2013/TT-NHNN</w:t>
            </w:r>
          </w:p>
        </w:tc>
        <w:tc>
          <w:p/>
          <w:p>
            <w:pPr>
              <w:spacing w:after="0" w:before="0" w:lineRule="auto" w:line="276"/>
              <w:jc w:val="left"/>
            </w:pPr>
            <w:r>
              <w:rPr>
                <w:rFonts w:ascii="Times New Roman" w:hAnsi="Times New Roman" w:cs="Times New Roman" w:eastAsia="Times New Roman"/>
                <w:b w:val="false"/>
                <w:sz w:val="26"/>
              </w:rPr>
              <w:t>Hướng dẫn một số nội dung về quản lý ngoại hối đối với việc cho vay ra nước ngoài và thu hồi nợ bảo lãnh cho người không cư trú</w:t>
            </w:r>
          </w:p>
        </w:tc>
        <w:tc>
          <w:p/>
          <w:p>
            <w:pPr>
              <w:spacing w:after="0" w:before="0" w:lineRule="auto" w:line="276"/>
              <w:jc w:val="left"/>
            </w:pPr>
            <w:r>
              <w:rPr>
                <w:rFonts w:ascii="Times New Roman" w:hAnsi="Times New Roman" w:cs="Times New Roman" w:eastAsia="Times New Roman"/>
                <w:b w:val="false"/>
                <w:sz w:val="26"/>
              </w:rPr>
              <w:t>31-12-2013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2025-11-27T16:38:46Z</dcterms:created>
  <dc:creator>Apache POI</dc:creator>
</cp:coreProperties>
</file>