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1.001477</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2187/QĐ-NHNN</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Chấp thuận hoạt động xuất khẩu, nhập khẩu ngoại tệ tiền mặt của các ngân hàng được phép</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Hoạt động ngoại hối</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Bước 1: Khi có nhu cầu thực hiện xuất khẩu, nhập khẩu ngoại tệ tiền mặt, ngân hàng được phép lập và gửi 01 (một) bộ hồ sơ cho Ngân hàng Nhà nước Khu vực 1(đối với các ngân hàng xuất khẩu, nhập khẩu ngoại tệ tiền mặt qua của khẩu Nội Bài) hoặc Ngân hàng Nhà nước Khu vực 2 (đối với các ngân hàng  xuất khẩu, nhập khẩu ngoại tệ tiền mặt qua của khẩu Tân Sơn Nhất) theo quy định sau:
a) Hồ sơ điện tử được sử dụng chữ ký số gửi trên Cổng thông tin một cửa quốc gia. Việc khai, gửi, tiếp nhận, trả kết quả, trao đổi, phản hồi thông tin, sử dụng chữ ký số trên Cổng thông tin một cửa quốc gia và hệ thống xử lý chuyên ngành của Ngân hàng Nhà nước Việt Nam thực hiện theo quy định tại Nghị định số 85/2019/NĐ-CP ngày 14 tháng 11 năm 2019 của Chính phủ quy định thực hiện thủ tục hành chính theo cơ chế một cửa quốc gia, cơ chế một cửa ASEAN và kiểm tra chuyên ngành đối với hàng hóa xuất khẩu, nhập khẩu và các văn bản sửa đổi, bổ sung, thay thế (nếu có);
b) Trường hợp hệ thống Cổng thông tin một cửa quốc gia hoặc hệ thống xử lý chuyên ngành của Ngân hàng Nhà nước Việt Nam gặp sự cố hoặc có lỗi không thể tiếp nhận, trao đổi thông tin điện tử, việc khai, gửi, tiếp nhận, trả kết quả, trao đổi, phản hồi thông tin được thực hiện qua dịch vụ bưu chính hoặc trực tiếp tại Bộ phận Tiếp nhận và Trả kết quả của Ngân hàng Nhà nước Khu vực 1 hoặc Ngân hàng Nhà nước Khu vực 2;
c) Các tài liệu trong hồ sơ điện tử là bản điện tử quét từ bản gốc (tập tin định dạng PDF), trừ văn bản đề nghị chấp thuận xuất khẩu, nhập khẩu ngoại tệ tiền mặt được khai trên Cổng thông tin một cửa quốc gia. Các tài liệu trong hồ sơ giấy là bản gốc hoặc bản sao có xác nhận của người đại diện hợp pháp của ngân hàng được phép.</w:t>
      </w:r>
    </w:p>
    <w:p>
      <w:pPr>
        <w:spacing w:after="0" w:before="0" w:lineRule="auto" w:line="276"/>
        <w:jc w:val="both"/>
      </w:pPr>
      <w:r>
        <w:rPr>
          <w:rFonts w:ascii="Times New Roman" w:hAnsi="Times New Roman" w:cs="Times New Roman" w:eastAsia="Times New Roman"/>
          <w:b w:val="false"/>
          <w:sz w:val="26"/>
        </w:rPr>
        <w:t>+ Bước 2: Trong thời hạn 02 (hai) ngày làm việc kể từ ngày nhận đủ hồ sơ hợp lệ, Ngân hàng Nhà nước Khu vực 1 hoặc Ngân hàng Nhà nước Khu vực 2 xem xét, chấp thuận việc xuất khẩu, nhập khẩu ngoại tệ tiền mặt của ngân hàng được phép theo mẫu tại Phụ lục 02 ban hành kèm theo Thông tư số 17/2020/TT-NHNN và gửi cho ngân hàng được phép. 
Trường hợp hồ sơ chưa đầy đủ, hợp lệ, Ngân hàng Nhà nước Khu vực 1 hoặc Ngân hàng Nhà nước Khu vực 2 có thông báo trên Cổng thông tin một cửa quốc gia hoặc văn bản thông báo cho ngân hàng được phép  và nêu rõ lý do.</w:t>
      </w:r>
    </w:p>
    <w:p>
      <w:pPr>
        <w:spacing w:after="0" w:before="0" w:lineRule="auto" w:line="276"/>
        <w:jc w:val="both"/>
      </w:pPr>
      <w:r>
        <w:rPr>
          <w:rFonts w:ascii="Times New Roman" w:hAnsi="Times New Roman" w:cs="Times New Roman" w:eastAsia="Times New Roman"/>
          <w:b w:val="false"/>
          <w:sz w:val="26"/>
        </w:rPr>
        <w:t>+ Bước 3: Trong thời hạn 03 (ba) ngày làm việc kể từ ngày nhận được đầy đủ các chứng từ liên quan đến xuất khẩu, nhập khẩu ngoại tệ tiền mặt (điện thanh toán và tờ khai hải quan), ngân hàng được phép gửi Ngân hàng Nhà nước Khu vực 1 hoặc Ngân hàng Nhà nước Khu vực 2 bản sao điện thanh toán và tờ khai hải quan (có xác nhận của người đại diện hợp pháp của ngân hàng được phép).</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2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02 ngày làm việc</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2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Nộp trên Cổng thông tin một cửa quốc gia</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2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02 ngày làm việc</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Văn bản đề nghị chấp thuận xuất khẩu, nhập khẩu ngoại tệ tiền mặt theo mẫu tại Phụ lục 01 ban hành kèm theo Thông tư số 17/2020/TT-NHNN ngày 14/12/2020;</w:t>
            </w:r>
          </w:p>
        </w:tc>
        <w:tc>
          <w:p/>
          <w:p>
            <w:pPr>
              <w:spacing w:after="0" w:before="0" w:lineRule="auto" w:line="276"/>
              <w:jc w:val="left"/>
            </w:pPr>
            <w:r>
              <w:rPr>
                <w:rFonts w:ascii="Times New Roman" w:hAnsi="Times New Roman" w:cs="Times New Roman" w:eastAsia="Times New Roman"/>
                <w:b w:val="false"/>
                <w:sz w:val="26"/>
              </w:rPr>
              <w:t>Phlc01.docx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Hợp đồng xuất khẩu và/hoặc nhập khẩu ngoại tệ tiền mặt ký kết giữa ngân hàng được phép với ngân hàng hoặc tổ chức tài chính nước ngoài kèm bản dịch tiếng Việt có xác nhận của người đại diện hợp pháp của ngân hàng được phép (chỉ gửi lần đầu và gửi bổ sung khi có thay đổi);</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Quy định nội bộ của ngân hàng được phép về hoạt động xuất khẩu, nhập khẩu ngoại tệ tiền mặt, trong đó quy định về phân cấp ủy quyền thực hiện hoạt động xuất khẩu, nhập khẩu ngoại tệ tiền mặt trong nội bộ hệ thống và quy định quản lý, giám sát, bảo đảm an toàn trong việc giao nhận, bảo quản và vận chuyển ngoại tệ tiền mặt phải đảm bảo tuân thủ theo quy định của Ngân hàng Nhà nước Việt Nam (chỉ gửi lần đầu và gửi bổ sung khi có thay đổi);</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Giấy ủy quyền trong trường hợp người ký văn bản đề nghị chấp thuận là người đại diện theo ủy quyền của ngân hàng được phép (chỉ gửi lần đầu và gửi bổ sung khi có thay đổi).</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Ngân hàng Nhà nước chi nhánh thành phố Hà Nội, Ngân hàng Nhà nước chi nhánh thành phố Hồ Chí Minh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Bộ phận Một cửa Ngân hàng Nhà nước Khu vực 1/Khu vực 2</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chấp thuận việc xuất khẩu, nhập khẩu ngoại tệ tiền mặt của ngân hàng được phép</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33/2013/TT-NHNN</w:t>
            </w:r>
          </w:p>
        </w:tc>
        <w:tc>
          <w:p/>
          <w:p>
            <w:pPr>
              <w:spacing w:after="0" w:before="0" w:lineRule="auto" w:line="276"/>
              <w:jc w:val="left"/>
            </w:pPr>
            <w:r>
              <w:rPr>
                <w:rFonts w:ascii="Times New Roman" w:hAnsi="Times New Roman" w:cs="Times New Roman" w:eastAsia="Times New Roman"/>
                <w:b w:val="false"/>
                <w:sz w:val="26"/>
              </w:rPr>
              <w:t>Thông tư 33/2013/TT-NHNN</w:t>
            </w:r>
          </w:p>
        </w:tc>
        <w:tc>
          <w:p/>
          <w:p>
            <w:pPr>
              <w:spacing w:after="0" w:before="0" w:lineRule="auto" w:line="276"/>
              <w:jc w:val="left"/>
            </w:pPr>
            <w:r>
              <w:rPr>
                <w:rFonts w:ascii="Times New Roman" w:hAnsi="Times New Roman" w:cs="Times New Roman" w:eastAsia="Times New Roman"/>
                <w:b w:val="false"/>
                <w:sz w:val="26"/>
              </w:rPr>
              <w:t>26-12-2013</w:t>
            </w:r>
          </w:p>
        </w:tc>
        <w:tc>
          <w:p/>
          <w:p>
            <w:pPr>
              <w:spacing w:after="0" w:before="0" w:lineRule="auto" w:line="276"/>
              <w:jc w:val="left"/>
            </w:pPr>
            <w:r>
              <w:rPr>
                <w:rFonts w:ascii="Times New Roman" w:hAnsi="Times New Roman" w:cs="Times New Roman" w:eastAsia="Times New Roman"/>
                <w:b w:val="false"/>
                <w:sz w:val="26"/>
              </w:rPr>
              <w:t>Ngân hàng Nhà nước Việt Nam</w:t>
            </w:r>
          </w:p>
        </w:tc>
      </w:tr>
      <w:tr>
        <w:tc>
          <w:p/>
          <w:p>
            <w:pPr>
              <w:spacing w:after="0" w:before="0" w:lineRule="auto" w:line="276"/>
              <w:jc w:val="left"/>
            </w:pPr>
            <w:r>
              <w:rPr>
                <w:rFonts w:ascii="Times New Roman" w:hAnsi="Times New Roman" w:cs="Times New Roman" w:eastAsia="Times New Roman"/>
                <w:b w:val="false"/>
                <w:sz w:val="26"/>
              </w:rPr>
              <w:t>85/2019/NĐ-CP</w:t>
            </w:r>
          </w:p>
        </w:tc>
        <w:tc>
          <w:p/>
          <w:p>
            <w:pPr>
              <w:spacing w:after="0" w:before="0" w:lineRule="auto" w:line="276"/>
              <w:jc w:val="left"/>
            </w:pPr>
            <w:r>
              <w:rPr>
                <w:rFonts w:ascii="Times New Roman" w:hAnsi="Times New Roman" w:cs="Times New Roman" w:eastAsia="Times New Roman"/>
                <w:b w:val="false"/>
                <w:sz w:val="26"/>
              </w:rPr>
              <w:t>Nghị định 85/2019/NĐ-CP</w:t>
            </w:r>
          </w:p>
        </w:tc>
        <w:tc>
          <w:p/>
          <w:p>
            <w:pPr>
              <w:spacing w:after="0" w:before="0" w:lineRule="auto" w:line="276"/>
              <w:jc w:val="left"/>
            </w:pPr>
            <w:r>
              <w:rPr>
                <w:rFonts w:ascii="Times New Roman" w:hAnsi="Times New Roman" w:cs="Times New Roman" w:eastAsia="Times New Roman"/>
                <w:b w:val="false"/>
                <w:sz w:val="26"/>
              </w:rPr>
              <w:t>14-11-2019</w:t>
            </w:r>
          </w:p>
        </w:tc>
        <w:tc>
          <w:p/>
        </w:tc>
      </w:tr>
      <w:tr>
        <w:tc>
          <w:p/>
          <w:p>
            <w:pPr>
              <w:spacing w:after="0" w:before="0" w:lineRule="auto" w:line="276"/>
              <w:jc w:val="left"/>
            </w:pPr>
            <w:r>
              <w:rPr>
                <w:rFonts w:ascii="Times New Roman" w:hAnsi="Times New Roman" w:cs="Times New Roman" w:eastAsia="Times New Roman"/>
                <w:b w:val="false"/>
                <w:sz w:val="26"/>
              </w:rPr>
              <w:t>17/2020/TT-NHNN</w:t>
            </w:r>
          </w:p>
        </w:tc>
        <w:tc>
          <w:p/>
          <w:p>
            <w:pPr>
              <w:spacing w:after="0" w:before="0" w:lineRule="auto" w:line="276"/>
              <w:jc w:val="left"/>
            </w:pPr>
            <w:r>
              <w:rPr>
                <w:rFonts w:ascii="Times New Roman" w:hAnsi="Times New Roman" w:cs="Times New Roman" w:eastAsia="Times New Roman"/>
                <w:b w:val="false"/>
                <w:sz w:val="26"/>
              </w:rPr>
              <w:t>Thông tư 17/2020/TT-NHNN</w:t>
            </w:r>
          </w:p>
        </w:tc>
        <w:tc>
          <w:p/>
          <w:p>
            <w:pPr>
              <w:spacing w:after="0" w:before="0" w:lineRule="auto" w:line="276"/>
              <w:jc w:val="left"/>
            </w:pPr>
            <w:r>
              <w:rPr>
                <w:rFonts w:ascii="Times New Roman" w:hAnsi="Times New Roman" w:cs="Times New Roman" w:eastAsia="Times New Roman"/>
                <w:b w:val="false"/>
                <w:sz w:val="26"/>
              </w:rPr>
              <w:t>14-12-2020</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https://thutuc.dichvucong.gov.vn/p/home/dvc-tthc-thu-tuc-hanh-chinh-chi-tiet.html?ma_thu_tuc=2160</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2025-11-27T16:38:46Z</dcterms:created>
  <dc:creator>Apache POI</dc:creator>
</cp:coreProperties>
</file>