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1.001498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973/QĐ-BNNMT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Chứng nhận, thừa nhận tổ chức đánh giá sự phù hợp quy chuẩn kỹ thuật môi trường đối với phế liệu nhập khẩu làm nguyên liệu sản xuất ( 1.001498 )</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Môi trường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Nộp hồ sơ
- Tổ chức/cá nhân (chủ dự án đầu tư, cơ sở) lựa chọn nộp hồ sơ thông qua một trong các hình thức sau:
+ Trực tiếp tại Văn phòng Một cửa tại trụ sở Bộ Nông nghiệp và Môi trường (địa chỉ số 10 Tôn Thất Thuyết, phường Mỹ Đình 2, quận Nam Từ Liêm, Hà Nội);
+ Thông qua dịch vụ bưu chính công ích; qua dịch vụ bưu chính chuyển phát của tổ chức, cá nhân hoặc qua ủy quyền thực hiện TTHC theo quy định của pháp luật;
+ Trực tuyến tại Cổng Dịch vụ công trực tuyến của Bộ Nông nghiệp và Môi trường (địa chỉ: https://dichvucong.mae.gov.vn) hoặc Cổng dịch vụ công quốc gia (địa chỉ https://dichvucong.gov.vn).
 - Đối với các dự án đầu tư thuộc bí mật nhà nước về quốc phòng, an ninh: nộp hồ sơ theo quy định của Bộ Quốc phòng, Bộ Công an.
Bước 2: Tiếp nhận hồ sơ 
Cơ quan thẩm định kiểm tra tính đầy đủ và hợp lệ của hồ sơ theo quy định của pháp luật, trường hợp hồ sơ chưa đầy đủ, chưa hợp lệ thì từ chối tiếp nhận; trường hợp hồ sơ đã bảo đảm tính đầy đủ, hợp lệ thì thực hiện tiếp nhận và gửi giấy tiếp nhận hồ sơ và hẹn trả kết quả quả tới tổ chức/cá nhân.
Bước 3: Thẩm định hồ sơ
Thẩm định hồ sơ sau khi nhận hồ sơ đầy đủ, hợp lệ. 
3.1. Kiểm tra thực tế tại tổ chức đăng ký và ký biên bản kiểm tra
- Cơ quan chỉ định thành lập đoàn đánh giá, đánh giá thực tế tại tổ chức đề nghị giám định phế liệu.
- Kết quả kiểm tra được thể hiện bằng biên bản kiểm tra.
3.2. Tổ chức đăng ký hoàn thiện hồ sơ và yêu cầu được nêu tại biên bản kiểm tra.
3.3. Tiếp nhận hồ sơ của tổ chức đăng ký sau khi đã hoàn thiện: Sau khi hoàn thiện hồ sơ theo yêu cầu tại Biên bản kiểm tra, đánh giá thực tế, Công ty gửi Cơ quan thẩm định để được xem xét, chỉ định.
Bước 4. Phê duyệt 
- Cơ quan thẩm định ban hành văn bản chứng nhận, thừa nhận tổ chức đánh giá sự phù hợp quy chuẩn kỹ thuật môi trường đối với phế liệu nhập khẩu làm nguyên liệu sản xuất hoặc văn bản thông báo không chứng nhận, thừa nhận (trong đó nêu rõ lý do kèm các nội dung yêu cầu bổ sung, làm rõ) trong trường hợp hồ sơ chưa được chỉnh sửa, bổ sung đầy đủ theo ý kiến kết luận của đoàn kiểm tra đánh giá.
- Cơ quan thẩm định có trách nhiệm công khai trên cổng thông tin điện tử văn bản chứng nhận, thừa nhận tổ chức đánh giá sự phù hợp quy chuẩn kỹ thuật môi trường đối với phế liệu nhập khẩu làm nguyên liệu sản xuất, trừ các thông tin thuộc bí mật nhà nước, bí mật của doanh nghiệp theo quy định của pháp luật.
Bước 5. Trả kết quả
Tổ chức, cá nhân nhận kết quả giải quyết TTHC theo thời gian, địa điểm ghi trên giấy tiếp nhận hồ sơ và hẹn trả kết quả trực tiếp tại Văn phòng Một cửa tại trụ sở Bộ Nông nghiệp và Môi trường (địa chỉ số 10 Tôn Thất Thuyết, phường Mỹ Đình 2, quận Nam Từ Liêm, Hà Nội). Trường hợp đăng ký nhận kết quả trực tuyến thì thông qua Cổng Dịch vụ công trực tuyến của Bộ Nông nghiệp và Môi trường (địa chỉ: https://dichvucong.mae.gov.vn) hoặc Cổng dịch vụ công quốc gia (địa chỉ https://dichvucong.gov.vn).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28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Thời hạn tiếp nhận và soát xét tính đầy đủ, hợp lệ của hồ sơ: 03 (ba) ngày làm việc, kể từ ngày nhận đủ hồ sơ; 
- Thời hạn tổ chức thành lập đoàn kiểm tra thực tế tại tổ chức đăng ký, kiểm tra thực tế tại tổ chức đăng ký, hoàn thiện và ký biên bản kiểm tra: 20 (hai mươi) ngày kể từ ngày nhận đủ hồ sơ đầy đủ, hợp lệ;
- Tổ chức đăng ký hoàn thiện hồ sơ và yêu cầu được nêu tại biên bản kiểm tra: 30 (ba mươi) ngày kể từ ngày tổ chức kiểm tra, đánh giá thực tế; 
- Tiếp nhận hồ sơ của tổ chức đăng ký sau khi đã hoàn thiện, soạn thảo Quyết định chỉ định hoặc văn bản trả kết quả nếu không đảm bảo yêu cầu: 05 (năm) ngày làm việc kể từ ngày nhận được hồ sơ hoàn thiện.</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28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Thời hạn tiếp nhận và soát xét tính đầy đủ, hợp lệ của hồ sơ: 03 (ba) ngày làm việc, kể từ ngày nhận đủ hồ sơ;
- Thời hạn tổ chức thành lập đoàn kiểm tra thực tế tại tổ chức đăng ký, kiểm tra thực tế tại tổ chức đăng ký, hoàn thiện và ký biên bản kiểm tra: 20 (hai mươi) ngày kể từ ngày nhận đủ hồ sơ đầy đủ, hợp lệ;
- Tổ chức đăng ký hoàn thiện hồ sơ và yêu cầu được nêu tại biên bản kiểm tra: 30 (ba mươi) ngày kể từ ngày tổ chức kiểm tra, đánh giá thực tế;
- Tiếp nhận hồ sơ của tổ chức đăng ký sau khi đã hoàn thiện, soạn thảo Quyết định chỉ định hoặc văn bản trả kết quả nếu không đảm bảo yêu cầu: 05 (năm) ngày làm việc kể từ ngày nhận được hồ sơ hoàn thiện.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28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Thời hạn tiếp nhận và soát xét tính đầy đủ, hợp lệ của hồ sơ: 03 (ba) ngày làm việc, kể từ ngày nhận đủ hồ sơ;
- Thời hạn tổ chức thành lập đoàn kiểm tra thực tế tại tổ chức đăng ký, kiểm tra thực tế tại tổ chức đăng ký, hoàn thiện và ký biên bản kiểm tra: 20 (hai mươi) ngày kể từ ngày nhận đủ hồ sơ đầy đủ, hợp lệ;
- Tổ chức đăng ký hoàn thiện hồ sơ và yêu cầu được nêu tại biên bản kiểm tra: 30 (ba mươi) ngày kể từ ngày tổ chức kiểm tra, đánh giá thực tế;
- Tiếp nhận hồ sơ của tổ chức đăng ký sau khi đã hoàn thiện, soạn thảo Quyết định chỉ định hoặc văn bản trả kết quả nếu không đảm bảo yêu cầu: 05 (năm) ngày làm việc kể từ ngày nhận được hồ sơ hoàn thiện.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Hồ sơ đăng ký cấp chỉ định tổ chức giám định phế liệu nhập khẩu khẩu bao gồm đơn đăng ký theo mẫu tại Mẫu số 04 Phụ lục ban hành kèm theo Nghị định số 74/2018/NĐ-CP kèm theo các hồ sơ, tài liệu trình bày theo cấu trúc sau: (1) Hồ sơ pháp lý của tổ chức đăng ký (1.1) Bản sao Giấy chứng nhận đăng ký hoạt động giám định; (1.2) Danh sách giám định viên, chuyên gia đánh giá kèm theo bản sao chứng chỉ đào tạo chuyên môn, nghiệp vụ; (1.3) Danh mục tài liệu kỹ thuật, tiêu chuẩn tham chiếu; (1.4) Quy trình, thủ tục giám định tương ứng với chủng loại phế liệu đăng ký chỉ định; (1.5) Bản sao Chứng chỉ công nhận năng lực giám định theo TCVN 17020:2012 hoặc hồ sơ chứng minh hệ thống quản lý và năng lực đáp ứng TCVN 17020:2012 (nếu có); (1.6) Mẫu chứng thư giám định; (1.7) Giấy chứng nhận đăng kí dấu nghiệp vụ đối với hoạt động giám định thương mại; (1.8) Các quy định nội bộ và các biểu mẫu khác, ví dụ như: tiếp nhận hồ sơ, xử lý hiện trường, biên bản lấy mẫu, biên bản giao mẫu, phiếu yêu cầu phân tích, thử nghiệm, phiếu nhận kết quả, ban hành chứng thư, quản lý thông tin…(nếu có).</w:t>
            </w:r>
          </w:p>
        </w:tc>
        <w:tc>
          <w:p/>
          <w:p>
            <w:pPr>
              <w:spacing w:after="0" w:before="0" w:lineRule="auto" w:line="276"/>
              <w:jc w:val="left"/>
            </w:pPr>
            <w:r>
              <w:rPr>
                <w:rFonts w:ascii="Times New Roman" w:hAnsi="Times New Roman" w:cs="Times New Roman" w:eastAsia="Times New Roman"/>
                <w:b w:val="false"/>
                <w:sz w:val="26"/>
              </w:rPr>
              <w:t>Mus0405v06.docx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Cán bộ, công chức, viên chức, 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Nông nghiệp và Môi trường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Nông nghiệp và Môi trường</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Trực tiếp tại Văn phòng Một cửa tại trụ sở Bộ Nông nghiệp và Môi trường (địa chỉ số 10 Tôn Thất Thuyết, phường Mỹ Đình 2, quận Nam Từ Liêm, Hà Nội); + Thông qua dịch vụ bưu chính công ích; qua dịch vụ bưu chính chuyển phát của tổ chức, cá nhân hoặc qua ủy quyền thực hiện TTHC theo quy định của pháp luật; + Trực tuyến tại Cổng Dịch vụ công trực tuyến của Bộ Nông nghiệp và Môi trường (địa chỉ: https://dichvucong.mae.gov.vn) hoặc Cổng dịch vụ công quốc gia (địa chỉ https://dichvucong.gov.vn).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chỉ định tổ chức giám định phế liệu nhập khẩu, Văn bản trả hồ sơ do không đủ điều kiện được chỉ định</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132/2008/NĐ-CP</w:t>
            </w:r>
          </w:p>
        </w:tc>
        <w:tc>
          <w:p/>
          <w:p>
            <w:pPr>
              <w:spacing w:after="0" w:before="0" w:lineRule="auto" w:line="276"/>
              <w:jc w:val="left"/>
            </w:pPr>
            <w:r>
              <w:rPr>
                <w:rFonts w:ascii="Times New Roman" w:hAnsi="Times New Roman" w:cs="Times New Roman" w:eastAsia="Times New Roman"/>
                <w:b w:val="false"/>
                <w:sz w:val="26"/>
              </w:rPr>
              <w:t>nghị định 132/2008/NĐ-CP</w:t>
            </w:r>
          </w:p>
        </w:tc>
        <w:tc>
          <w:p/>
          <w:p>
            <w:pPr>
              <w:spacing w:after="0" w:before="0" w:lineRule="auto" w:line="276"/>
              <w:jc w:val="left"/>
            </w:pPr>
            <w:r>
              <w:rPr>
                <w:rFonts w:ascii="Times New Roman" w:hAnsi="Times New Roman" w:cs="Times New Roman" w:eastAsia="Times New Roman"/>
                <w:b w:val="false"/>
                <w:sz w:val="26"/>
              </w:rPr>
              <w:t>31-12-2008</w:t>
            </w:r>
          </w:p>
        </w:tc>
        <w:tc>
          <w:p/>
        </w:tc>
      </w:tr>
      <w:tr>
        <w:tc>
          <w:p/>
          <w:p>
            <w:pPr>
              <w:spacing w:after="0" w:before="0" w:lineRule="auto" w:line="276"/>
              <w:jc w:val="left"/>
            </w:pPr>
            <w:r>
              <w:rPr>
                <w:rFonts w:ascii="Times New Roman" w:hAnsi="Times New Roman" w:cs="Times New Roman" w:eastAsia="Times New Roman"/>
                <w:b w:val="false"/>
                <w:sz w:val="26"/>
              </w:rPr>
              <w:t>40/2019/NĐ-CP</w:t>
            </w:r>
          </w:p>
        </w:tc>
        <w:tc>
          <w:p/>
          <w:p>
            <w:pPr>
              <w:spacing w:after="0" w:before="0" w:lineRule="auto" w:line="276"/>
              <w:jc w:val="left"/>
            </w:pPr>
            <w:r>
              <w:rPr>
                <w:rFonts w:ascii="Times New Roman" w:hAnsi="Times New Roman" w:cs="Times New Roman" w:eastAsia="Times New Roman"/>
                <w:b w:val="false"/>
                <w:sz w:val="26"/>
              </w:rPr>
              <w:t>Nghị định số 40/2019/NĐ-CP</w:t>
            </w:r>
          </w:p>
        </w:tc>
        <w:tc>
          <w:p/>
          <w:p>
            <w:pPr>
              <w:spacing w:after="0" w:before="0" w:lineRule="auto" w:line="276"/>
              <w:jc w:val="left"/>
            </w:pPr>
            <w:r>
              <w:rPr>
                <w:rFonts w:ascii="Times New Roman" w:hAnsi="Times New Roman" w:cs="Times New Roman" w:eastAsia="Times New Roman"/>
                <w:b w:val="false"/>
                <w:sz w:val="26"/>
              </w:rPr>
              <w:t>13-05-2019</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số 74/2018/NĐ-CP</w:t>
            </w:r>
          </w:p>
        </w:tc>
        <w:tc>
          <w:p/>
          <w:p>
            <w:pPr>
              <w:spacing w:after="0" w:before="0" w:lineRule="auto" w:line="276"/>
              <w:jc w:val="left"/>
            </w:pPr>
            <w:r>
              <w:rPr>
                <w:rFonts w:ascii="Times New Roman" w:hAnsi="Times New Roman" w:cs="Times New Roman" w:eastAsia="Times New Roman"/>
                <w:b w:val="false"/>
                <w:sz w:val="26"/>
              </w:rPr>
              <w:t>Điều 1 Nghị định số 74/2018/NĐ-CP ngày 15 tháng 5 năm 2018 của Chính phủ sửa đổi, bổ sung một số điều của Nghị định số 132/2008/NĐ-CP ngày 31 tháng 12 năm 2008 quy định chi tiết thi hành một số điều Luật Chất lượng sản phẩm, hàng hóa.</w:t>
            </w:r>
          </w:p>
        </w:tc>
        <w:tc>
          <w:p/>
          <w:p>
            <w:pPr>
              <w:spacing w:after="0" w:before="0" w:lineRule="auto" w:line="276"/>
              <w:jc w:val="left"/>
            </w:pPr>
            <w:r>
              <w:rPr>
                <w:rFonts w:ascii="Times New Roman" w:hAnsi="Times New Roman" w:cs="Times New Roman" w:eastAsia="Times New Roman"/>
                <w:b w:val="false"/>
                <w:sz w:val="26"/>
              </w:rPr>
              <w:t>15-05-2018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số 154/2018/NĐ-CP</w:t>
            </w:r>
          </w:p>
        </w:tc>
        <w:tc>
          <w:p/>
          <w:p>
            <w:pPr>
              <w:spacing w:after="0" w:before="0" w:lineRule="auto" w:line="276"/>
              <w:jc w:val="left"/>
            </w:pPr>
            <w:r>
              <w:rPr>
                <w:rFonts w:ascii="Times New Roman" w:hAnsi="Times New Roman" w:cs="Times New Roman" w:eastAsia="Times New Roman"/>
                <w:b w:val="false"/>
                <w:sz w:val="26"/>
              </w:rPr>
              <w:t>Điều 4 Nghị định số 154/2018/NĐ-CP ngày 09 tháng 11 năm 2018 sửa đổi, bổ sung một số quy định về điều kiện đầu tư kinh doanh trong lĩnh vực quản lý nhà nước của Bộ Khoa học và Công nghệ và một số quy định về kiểm tra chuyên ngành.</w:t>
            </w:r>
          </w:p>
        </w:tc>
        <w:tc>
          <w:p/>
          <w:p>
            <w:pPr>
              <w:spacing w:after="0" w:before="0" w:lineRule="auto" w:line="276"/>
              <w:jc w:val="left"/>
            </w:pPr>
            <w:r>
              <w:rPr>
                <w:rFonts w:ascii="Times New Roman" w:hAnsi="Times New Roman" w:cs="Times New Roman" w:eastAsia="Times New Roman"/>
                <w:b w:val="false"/>
                <w:sz w:val="26"/>
              </w:rPr>
              <w:t>09-11-2018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107/2016/NĐ-CP</w:t>
            </w:r>
          </w:p>
        </w:tc>
        <w:tc>
          <w:p/>
          <w:p>
            <w:pPr>
              <w:spacing w:after="0" w:before="0" w:lineRule="auto" w:line="276"/>
              <w:jc w:val="left"/>
            </w:pPr>
            <w:r>
              <w:rPr>
                <w:rFonts w:ascii="Times New Roman" w:hAnsi="Times New Roman" w:cs="Times New Roman" w:eastAsia="Times New Roman"/>
                <w:b w:val="false"/>
                <w:sz w:val="26"/>
              </w:rPr>
              <w:t>Nghị định 107/2016/NĐ-CP</w:t>
            </w:r>
          </w:p>
        </w:tc>
        <w:tc>
          <w:p/>
          <w:p>
            <w:pPr>
              <w:spacing w:after="0" w:before="0" w:lineRule="auto" w:line="276"/>
              <w:jc w:val="left"/>
            </w:pPr>
            <w:r>
              <w:rPr>
                <w:rFonts w:ascii="Times New Roman" w:hAnsi="Times New Roman" w:cs="Times New Roman" w:eastAsia="Times New Roman"/>
                <w:b w:val="false"/>
                <w:sz w:val="26"/>
              </w:rPr>
              <w:t>01-07-2016</w:t>
            </w:r>
          </w:p>
        </w:tc>
        <w:tc>
          <w:p/>
        </w:tc>
      </w:tr>
      <w:tr>
        <w:tc>
          <w:p/>
          <w:p>
            <w:pPr>
              <w:spacing w:after="0" w:before="0" w:lineRule="auto" w:line="276"/>
              <w:jc w:val="left"/>
            </w:pPr>
            <w:r>
              <w:rPr>
                <w:rFonts w:ascii="Times New Roman" w:hAnsi="Times New Roman" w:cs="Times New Roman" w:eastAsia="Times New Roman"/>
                <w:b w:val="false"/>
                <w:sz w:val="26"/>
              </w:rPr>
              <w:t>72/2020/QH14</w:t>
            </w:r>
          </w:p>
        </w:tc>
        <w:tc>
          <w:p/>
          <w:p>
            <w:pPr>
              <w:spacing w:after="0" w:before="0" w:lineRule="auto" w:line="276"/>
              <w:jc w:val="left"/>
            </w:pPr>
            <w:r>
              <w:rPr>
                <w:rFonts w:ascii="Times New Roman" w:hAnsi="Times New Roman" w:cs="Times New Roman" w:eastAsia="Times New Roman"/>
                <w:b w:val="false"/>
                <w:sz w:val="26"/>
              </w:rPr>
              <w:t>Luật 72/2020/QH14</w:t>
            </w:r>
          </w:p>
        </w:tc>
        <w:tc>
          <w:p/>
          <w:p>
            <w:pPr>
              <w:spacing w:after="0" w:before="0" w:lineRule="auto" w:line="276"/>
              <w:jc w:val="left"/>
            </w:pPr>
            <w:r>
              <w:rPr>
                <w:rFonts w:ascii="Times New Roman" w:hAnsi="Times New Roman" w:cs="Times New Roman" w:eastAsia="Times New Roman"/>
                <w:b w:val="false"/>
                <w:sz w:val="26"/>
              </w:rPr>
              <w:t>17-11-2020</w:t>
            </w:r>
          </w:p>
        </w:tc>
        <w:tc>
          <w:p/>
        </w:tc>
      </w:tr>
      <w:tr>
        <w:tc>
          <w:p/>
          <w:p>
            <w:pPr>
              <w:spacing w:after="0" w:before="0" w:lineRule="auto" w:line="276"/>
              <w:jc w:val="left"/>
            </w:pPr>
            <w:r>
              <w:rPr>
                <w:rFonts w:ascii="Times New Roman" w:hAnsi="Times New Roman" w:cs="Times New Roman" w:eastAsia="Times New Roman"/>
                <w:b w:val="false"/>
                <w:sz w:val="26"/>
              </w:rPr>
              <w:t>08/2022/NĐ-CP</w:t>
            </w:r>
          </w:p>
        </w:tc>
        <w:tc>
          <w:p/>
          <w:p>
            <w:pPr>
              <w:spacing w:after="0" w:before="0" w:lineRule="auto" w:line="276"/>
              <w:jc w:val="left"/>
            </w:pPr>
            <w:r>
              <w:rPr>
                <w:rFonts w:ascii="Times New Roman" w:hAnsi="Times New Roman" w:cs="Times New Roman" w:eastAsia="Times New Roman"/>
                <w:b w:val="false"/>
                <w:sz w:val="26"/>
              </w:rPr>
              <w:t>Nghị định số 08/2022/NĐ-CP ngày 10 tháng 01 năm 2022 của Chính phủ quy định chi tiết một số điều của Luật Bảo vệ môi trường;</w:t>
            </w:r>
          </w:p>
        </w:tc>
        <w:tc>
          <w:p/>
          <w:p>
            <w:pPr>
              <w:spacing w:after="0" w:before="0" w:lineRule="auto" w:line="276"/>
              <w:jc w:val="left"/>
            </w:pPr>
            <w:r>
              <w:rPr>
                <w:rFonts w:ascii="Times New Roman" w:hAnsi="Times New Roman" w:cs="Times New Roman" w:eastAsia="Times New Roman"/>
                <w:b w:val="false"/>
                <w:sz w:val="26"/>
              </w:rPr>
              <w:t>10-01-2022</w:t>
            </w:r>
          </w:p>
        </w:tc>
        <w:tc>
          <w:p/>
          <w:p>
            <w:pPr>
              <w:spacing w:after="0" w:before="0" w:lineRule="auto" w:line="276"/>
              <w:jc w:val="left"/>
            </w:pPr>
            <w:r>
              <w:rPr>
                <w:rFonts w:ascii="Times New Roman" w:hAnsi="Times New Roman" w:cs="Times New Roman" w:eastAsia="Times New Roman"/>
                <w:b w:val="false"/>
                <w:sz w:val="26"/>
              </w:rPr>
              <w:t>Thủ tướng Chính phủ</w:t>
            </w:r>
          </w:p>
        </w:tc>
      </w:tr>
      <w:tr>
        <w:tc>
          <w:p/>
          <w:p>
            <w:pPr>
              <w:spacing w:after="0" w:before="0" w:lineRule="auto" w:line="276"/>
              <w:jc w:val="left"/>
            </w:pPr>
            <w:r>
              <w:rPr>
                <w:rFonts w:ascii="Times New Roman" w:hAnsi="Times New Roman" w:cs="Times New Roman" w:eastAsia="Times New Roman"/>
                <w:b w:val="false"/>
                <w:sz w:val="26"/>
              </w:rPr>
              <w:t>07/2025/TT-BTNMT</w:t>
            </w:r>
          </w:p>
        </w:tc>
        <w:tc>
          <w:p/>
          <w:p>
            <w:pPr>
              <w:spacing w:after="0" w:before="0" w:lineRule="auto" w:line="276"/>
              <w:jc w:val="left"/>
            </w:pPr>
            <w:r>
              <w:rPr>
                <w:rFonts w:ascii="Times New Roman" w:hAnsi="Times New Roman" w:cs="Times New Roman" w:eastAsia="Times New Roman"/>
                <w:b w:val="false"/>
                <w:sz w:val="26"/>
              </w:rPr>
              <w:t>Sửa đổi, bổ sung một số điều của Thông tư số 02/2022/TT-BTNMT ngày 10 tháng 01 năm 2022 của Bộ trưởng Bộ Tài nguyên và Môi trường quy định chi tiết thi hành một số điều của Luật Bảo vệ môi trường</w:t>
            </w:r>
          </w:p>
        </w:tc>
        <w:tc>
          <w:p/>
          <w:p>
            <w:pPr>
              <w:spacing w:after="0" w:before="0" w:lineRule="auto" w:line="276"/>
              <w:jc w:val="left"/>
            </w:pPr>
            <w:r>
              <w:rPr>
                <w:rFonts w:ascii="Times New Roman" w:hAnsi="Times New Roman" w:cs="Times New Roman" w:eastAsia="Times New Roman"/>
                <w:b w:val="false"/>
                <w:sz w:val="26"/>
              </w:rPr>
              <w:t>28-02-2025</w:t>
            </w:r>
          </w:p>
        </w:tc>
        <w:tc>
          <w:p/>
          <w:p>
            <w:pPr>
              <w:spacing w:after="0" w:before="0" w:lineRule="auto" w:line="276"/>
              <w:jc w:val="left"/>
            </w:pPr>
            <w:r>
              <w:rPr>
                <w:rFonts w:ascii="Times New Roman" w:hAnsi="Times New Roman" w:cs="Times New Roman" w:eastAsia="Times New Roman"/>
                <w:b w:val="false"/>
                <w:sz w:val="26"/>
              </w:rPr>
              <w:t>Bộ Tài nguyên và Môi trường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Điều kiện về cơ sở pháp lý: 
+ Là tổ chức được thành lập theo quy định của pháp luật.
+ Có hệ thống quản lý và năng lực hoạt động đáp ứng các yêu cầu quy định trong tiêu chuẩn quốc gia TCVN ISO/IEC 17020:2012 hoặc tiêu chuẩn quốc tế ISO/IEC 17020:2012 hoặc tiêu chuẩn quốc gia, tiêu chuẩn quốc tế đối với giám định chuyên ngành.
- Điều kiện về nhân lực: Có ít nhất 04 giám định viên chính thức của tổ chức (viên chức hoặc lao động ký hợp đồng có thời hạn từ 12 tháng trở lên hoặc lao động ký hợp đồng không xác định thời hạn), đáp ứng điều kiện:
+ Có trình độ tốt nghiệp cao đẳng trở lên và chuyên môn phù hợp đối với sản phẩm, hàng hóa giám định;
+ Được đào tạo về tiêu chuẩn quốc gia TCVN ISO/IEC 17020:2012 hoặc tiêu chuẩn quốc tế ISO/IEC 17020:2012 hoặc tiêu chuẩn quốc gia, tiêu chuẩn quốc tế đối với giám định chuyên ngành;
+ Có kinh nghiệm làm việc 03 năm trở lên (kể từ thời điểm tốt nghiệp cao đẳng hoặc đại học), trong đó có 02 năm làm công tác giám định chất lượng sản phẩm, hàng hóa.
Trường hợp bổ sung lĩnh vực hoạt động giám định, phải có ít nhất 02 giám định viên chính thức của tổ chức (viên chức hoặc lao động ký hợp đồng có thời hạn từ 12 tháng trở lên hoặc lao động ký hợp đồng không xác định thời hạn) tương ứng với lĩnh vực giám định đăng ký bổ sung, đáp ứng các điều kiện quy định tại khoản này.</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Chứng nhận, thừa nhận tổ chức đánh giá sự phù hợp quy chuẩn kỹ thuật môi trường đối với phế liệu nhập khẩu làm nguyên liệu sản xuất ( 1.001498 )</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https://thutuc.dichvucong.gov.vn/p/home/dvc-tthc-thu-tuc-hanh-chinh-chi-tiet.html?ma_thu_tuc=2181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2025-11-27T16:38:58Z</dcterms:created>
  <dc:creator>Apache POI</dc:creator>
</cp:coreProperties>
</file>