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1.001501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1649/QĐ-BGDĐT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Chấm dứt hoạt động Văn phòng đại diện giáo dục nước ngoài tại Việt Nam theo đề nghị của tổ chức, cơ sở giáo dục nước ngoài thành lập văn phòng đại diện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đào tạo với nước ngoài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Tổ chức, cơ sở giáo dục nước ngoài gửi 01 bộ hồ sơ qua cổng dịch vụ công trực tuyến hoặc bưu chính hoặc trực tiếp đến Trung tâm Phục vụ hành chính công cấp tỉnh (Sở Giáo dục và Đào tạo);
 b) Trong thời hạn 05 ngày làm việc, kể từ ngày nhận được hồ sơ, nếu hồ sơ không hợp lệ, Sở Giáo dục và Đào tạo thông báo bằng văn bản cho cơ sở giáo dục để sửa đổi, bổ sung;
 c) Trong thời hạn 05 ngày làm việc kể từ ngày nhận đủ hồ sơ theo quy định, Sở Giáo dục và Đào tạo có trách nhiệm kiểm tra tính hợp lệ của hồ sơ và gửi hồ sơ xin ý kiến của các cơ quan, đơn vị có liên quan. 	Trong thời hạn 10 ngày làm việc kể từ ngày nhận được công văn xin ý kiến của cơ quan tiếp nhận hồ sơ, cơ quan, đơn vị được hỏi ý kiến phải có văn bản trả lời;
 d) Trong thời hạn 15 ngày làm việc kể từ ngày nhận đủ ý kiến, Sở Giáo dục và Đào tạo lập báo cáo thẩm định; nếu đủ điều kiện thì Sở Giáo dục và Đào tạo trình Chủ tịch Ủy ban nhân dân cấp tỉnh quyết định theo Mẫu số 07 hoặc Mẫu số 08 tại Phụ lục II ban hành kèm theo Nghị định này; nếu chưa đủ điều kiện thì thông báo thông báo bằng văn bản gửi trực tiếp hoặc qua dịch vụ bưu điện cho nhà đầu tư, trong đó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Trường hợp hồ sơ không hợp lệ: Trong thời hạn 05 ngày làm việc, kể từ ngày nhận được hồ sơ, nếu hồ sơ không hợp lệ, Sở Giáo dục và Đào tạo thông báo bằng văn bản cho cơ sở giáo dục để sửa đổi, bổ sung
- Trường hợp hợp lệ: 30 ngày làm việc, 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Trường hợp hồ sơ không hợp lệ: Trong thời hạn 05 ngày làm việc, kể từ ngày nhận được hồ sơ, nếu hồ sơ không hợp lệ, Sở Giáo dục và Đào tạo thông báo bằng văn bản cho cơ sở giáo dục để sửa đổi, bổ sung
- Trường hợp hợp lệ: 30 ngày làm việc, 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Trường hợp hồ sơ không hợp lệ: Trong thời hạn 05 ngày làm việc, kể từ ngày nhận được hồ sơ, nếu hồ sơ không hợp lệ, Sở Giáo dục và Đào tạo thông báo bằng văn bản cho cơ sở giáo dục để sửa đổi, bổ sung
- Trường hợp hợp lệ: 30 ngày làm việc, kể từ ngày nhận được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chấm dứt hoạt động của văn phòng đại diện giáo dục nước ngoài trong đó nêu rõ lý do chấm dứt hoạt động</w:t>
            </w:r>
          </w:p>
        </w:tc>
        <w:tc>
          <w:p/>
          <w:p>
            <w:pPr>
              <w:spacing w:after="0" w:before="0" w:lineRule="auto" w:line="276"/>
              <w:jc w:val="left"/>
            </w:pPr>
            <w:r>
              <w:rPr>
                <w:rFonts w:ascii="Times New Roman" w:hAnsi="Times New Roman" w:cs="Times New Roman" w:eastAsia="Times New Roman"/>
                <w:b w:val="false"/>
                <w:sz w:val="26"/>
              </w:rPr>
              <w:t>Mẫu số 56.docx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Phương án chấm dứt hoạt động trong đó nêu rõ các biện pháp đảm bảo quyền lợi hợp pháp của người lao động và phương án giải quyết tài chính, tài sản</w:t>
            </w:r>
          </w:p>
        </w:tc>
        <w:tc>
          <w:p/>
          <w:p>
            <w:pPr>
              <w:spacing w:after="0" w:before="0" w:lineRule="auto" w:line="276"/>
              <w:jc w:val="left"/>
            </w:pPr>
            <w:r>
              <w:rPr>
                <w:rFonts w:ascii="Times New Roman" w:hAnsi="Times New Roman" w:cs="Times New Roman" w:eastAsia="Times New Roman"/>
                <w:b w:val="false"/>
                <w:sz w:val="26"/>
              </w:rPr>
              <w:t>Mẫu số 57.docx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Người nước ngoài, Doanh nghiệp có vốn đầu tư nước ngoài,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Giáo dục và Đào tạo, 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chấm dứt hoạt động của văn phòng đại diện giáo dục</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xml:space="preserve">86/2018/NĐ-CP </w:t>
            </w:r>
          </w:p>
        </w:tc>
        <w:tc>
          <w:p/>
          <w:p>
            <w:pPr>
              <w:spacing w:after="0" w:before="0" w:lineRule="auto" w:line="276"/>
              <w:jc w:val="left"/>
            </w:pPr>
            <w:r>
              <w:rPr>
                <w:rFonts w:ascii="Times New Roman" w:hAnsi="Times New Roman" w:cs="Times New Roman" w:eastAsia="Times New Roman"/>
                <w:b w:val="false"/>
                <w:sz w:val="26"/>
              </w:rPr>
              <w:t>quy định về hợp tác, đầu tư của nước ngoài trong lĩnh vực giáo dục</w:t>
            </w:r>
          </w:p>
        </w:tc>
        <w:tc>
          <w:p/>
          <w:p>
            <w:pPr>
              <w:spacing w:after="0" w:before="0" w:lineRule="auto" w:line="276"/>
              <w:jc w:val="left"/>
            </w:pPr>
            <w:r>
              <w:rPr>
                <w:rFonts w:ascii="Times New Roman" w:hAnsi="Times New Roman" w:cs="Times New Roman" w:eastAsia="Times New Roman"/>
                <w:b w:val="false"/>
                <w:sz w:val="26"/>
              </w:rPr>
              <w:t>06-06-2018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124/2024/NĐ-CP</w:t>
            </w:r>
          </w:p>
        </w:tc>
        <w:tc>
          <w:p/>
          <w:p>
            <w:pPr>
              <w:spacing w:after="0" w:before="0" w:lineRule="auto" w:line="276"/>
              <w:jc w:val="left"/>
            </w:pPr>
            <w:r>
              <w:rPr>
                <w:rFonts w:ascii="Times New Roman" w:hAnsi="Times New Roman" w:cs="Times New Roman" w:eastAsia="Times New Roman"/>
                <w:b w:val="false"/>
                <w:sz w:val="26"/>
              </w:rPr>
              <w:t>Nghị định số 124/2024/NĐ-CP ngày 05 tháng 10 năm 2024 của Chính phủ sửa đổi, bổ sung một số điều của Nghị định số 86/2018/NĐ-CP ngày 06 tháng 6 năm 2018 của Chính phủ quy định về hợp tác, đầu tư của nước ngoài trong lĩnh vực giáo dục</w:t>
            </w:r>
          </w:p>
        </w:tc>
        <w:tc>
          <w:p/>
          <w:p>
            <w:pPr>
              <w:spacing w:after="0" w:before="0" w:lineRule="auto" w:line="276"/>
              <w:jc w:val="left"/>
            </w:pPr>
            <w:r>
              <w:rPr>
                <w:rFonts w:ascii="Times New Roman" w:hAnsi="Times New Roman" w:cs="Times New Roman" w:eastAsia="Times New Roman"/>
                <w:b w:val="false"/>
                <w:sz w:val="26"/>
              </w:rPr>
              <w:t>05-10-2024</w:t>
            </w:r>
          </w:p>
        </w:tc>
        <w:tc>
          <w:p/>
        </w:tc>
      </w:tr>
      <w:tr>
        <w:tc>
          <w:p/>
          <w:p>
            <w:pPr>
              <w:spacing w:after="0" w:before="0" w:lineRule="auto" w:line="276"/>
              <w:jc w:val="left"/>
            </w:pPr>
            <w:r>
              <w:rPr>
                <w:rFonts w:ascii="Times New Roman" w:hAnsi="Times New Roman" w:cs="Times New Roman" w:eastAsia="Times New Roman"/>
                <w:b w:val="false"/>
                <w:sz w:val="26"/>
              </w:rPr>
              <w:t>143/2025/NĐ-CP</w:t>
            </w:r>
          </w:p>
        </w:tc>
        <w:tc>
          <w:p/>
          <w:p>
            <w:pPr>
              <w:spacing w:after="0" w:before="0" w:lineRule="auto" w:line="276"/>
              <w:jc w:val="left"/>
            </w:pPr>
            <w:r>
              <w:rPr>
                <w:rFonts w:ascii="Times New Roman" w:hAnsi="Times New Roman" w:cs="Times New Roman" w:eastAsia="Times New Roman"/>
                <w:b w:val="false"/>
                <w:sz w:val="26"/>
              </w:rPr>
              <w:t>Nghị định quy định về phân quyền, phân cấp trong lĩnh vực quản lý nhà nước của Bộ Giáo dục và Đào tạo.</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Theo đề nghị của tổ chức, cơ sở giáo dục nước ngoài thành lập văn phòng đại diện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Ghi chú :
Đối tượng thực hiện thủ tục hành chính: Tổ chức, cơ sở giáo dục nước ngoài</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https://thutuc.dichvucong.gov.vn/p/home/dvc-tthc-thu-tuc-hanh-chinh-chi-tiet.html?ma_thu_tuc=2184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2025-11-27T16:38:57Z</dcterms:created>
  <dc:creator>Apache POI</dc:creator>
</cp:coreProperties>
</file>