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kỳ hạn trả nợ của khoản vay từ nguồn vốn của 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Phát triển khoa học và công nghệ Quốc gia (Quỹ) tiếp nhận và kiểm tra hồ sơ đề nghị điều chỉnh kỳ hạn trả nợ của khách hàng vay vốn từ nguồn vốn của Quỹ.</w:t>
      </w:r>
    </w:p>
    <w:p>
      <w:pPr>
        <w:spacing w:after="0" w:before="0" w:lineRule="auto" w:line="276"/>
        <w:jc w:val="both"/>
      </w:pPr>
      <w:r>
        <w:rPr>
          <w:rFonts w:ascii="Times New Roman" w:hAnsi="Times New Roman" w:cs="Times New Roman" w:eastAsia="Times New Roman"/>
          <w:b w:val="false"/>
          <w:sz w:val="26"/>
        </w:rPr>
        <w:t>Bước 2: Quỹ và Ngân hàng nhận ủy thác thực hiện kiểm tra tình trạng sử dụng vốn vay đúng mục đích, thẩm định phương án trả nợ mới để trình Giám đốc Quỹ xem xét quyết định điều chỉnh kỳ hạn trả nợ.</w:t>
      </w:r>
    </w:p>
    <w:p>
      <w:pPr>
        <w:spacing w:after="0" w:before="0" w:lineRule="auto" w:line="276"/>
        <w:jc w:val="both"/>
      </w:pPr>
      <w:r>
        <w:rPr>
          <w:rFonts w:ascii="Times New Roman" w:hAnsi="Times New Roman" w:cs="Times New Roman" w:eastAsia="Times New Roman"/>
          <w:b w:val="false"/>
          <w:sz w:val="26"/>
        </w:rPr>
        <w:t>Bước 3: Quỹ thông báo Quyết định về việc chấp thuận hoặc không chấp thuận điều chỉnh kỳ hạn đối với hồ sơ dự án đến ngân hàng nhận ủy thác và khách hàng.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Thời gian xử lý và thông báo kết quả đánh giá, thẩm định dự án tối đa là 15 ngày làm việc kể từ ngày nhận được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Thời gian xử lý và thông báo kết quả đánh giá, thẩm định dự án tối đa là 15 ngày làm việc kể từ ngày nhận được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Phương án trả nợ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theo quy định của Ngân hàng nhận ủy thác.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điều chỉnh kỳ hạn trả nợ vay;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nguyên nhân chậm trả theo kỳ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chấp thuận hoặc không chấp thuận điều chỉnh kỳ hạn nợ vay từ nguồn vốn của Quỹ Phát triển KH&amp;CN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26/2012/TT-NHNN	26/2012/TT-NHNN	</w:t>
            </w:r>
          </w:p>
        </w:tc>
        <w:tc>
          <w:p/>
          <w:p>
            <w:pPr>
              <w:spacing w:after="0" w:before="0" w:lineRule="auto" w:line="276"/>
              <w:jc w:val="left"/>
            </w:pPr>
            <w:r>
              <w:rPr>
                <w:rFonts w:ascii="Times New Roman" w:hAnsi="Times New Roman" w:cs="Times New Roman" w:eastAsia="Times New Roman"/>
                <w:b w:val="false"/>
                <w:sz w:val="26"/>
              </w:rPr>
              <w:t>Thông tư 26/2012/TT-NHNN	 Luật 47/2010/QH12</w:t>
            </w:r>
          </w:p>
        </w:tc>
        <w:tc>
          <w:p/>
          <w:p>
            <w:pPr>
              <w:spacing w:after="0" w:before="0" w:lineRule="auto" w:line="276"/>
              <w:jc w:val="left"/>
            </w:pPr>
            <w:r>
              <w:rPr>
                <w:rFonts w:ascii="Times New Roman" w:hAnsi="Times New Roman" w:cs="Times New Roman" w:eastAsia="Times New Roman"/>
                <w:b w:val="false"/>
                <w:sz w:val="26"/>
              </w:rPr>
              <w:t>13-09-2012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14/2016/TT-BKHCN</w:t>
            </w:r>
          </w:p>
        </w:tc>
        <w:tc>
          <w:p/>
          <w:p>
            <w:pPr>
              <w:spacing w:after="0" w:before="0" w:lineRule="auto" w:line="276"/>
              <w:jc w:val="left"/>
            </w:pPr>
            <w:r>
              <w:rPr>
                <w:rFonts w:ascii="Times New Roman" w:hAnsi="Times New Roman" w:cs="Times New Roman" w:eastAsia="Times New Roman"/>
                <w:b w:val="false"/>
                <w:sz w:val="26"/>
              </w:rPr>
              <w:t>Thông tư 14/2016/TT-BKHCN-Quản lý các hoạt động cho vay từ nguồn vốn của Quỹ Phát triển khoa học và công nghệ Quốc gia</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Về khả năng trả nợ: khách hàng do tạm thời gặp khó khăn nên chưa trả nợ vay đúng kỳ hạn, nhưng có khả năng khắc phục được và trả nợ theo phương án mới.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2025-11-27T16:39:09Z</dcterms:created>
  <dc:creator>Apache POI</dc:creator>
</cp:coreProperties>
</file>