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1.001530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vay vốn từ nguồn vốn của Quỹ Phát triển khoa học và công nghệ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Căn cứ theo Thông báo của Quỹ về thời hạn nộp hồ sơ trên Cổng thông tin điện tử của Quỹ Phát triển khoa học và công nghệ Quốc gia (Quỹ), tổ chức và cá nhân có nhu cầu được vay vốn để thực hiện các nhiệm vụ khoa học và công nghệ nộp hồ sơ đăng ký vay vốn tại Quỹ.</w:t>
      </w:r>
    </w:p>
    <w:p>
      <w:pPr>
        <w:spacing w:after="0" w:before="0" w:lineRule="auto" w:line="276"/>
        <w:jc w:val="both"/>
      </w:pPr>
      <w:r>
        <w:rPr>
          <w:rFonts w:ascii="Times New Roman" w:hAnsi="Times New Roman" w:cs="Times New Roman" w:eastAsia="Times New Roman"/>
          <w:b w:val="false"/>
          <w:sz w:val="26"/>
        </w:rPr>
        <w:t>Bước 2: Quỹ tiếp nhận và phối hợp với Ngân hàng nhận ủy thác tổ chức đánh giá xét chọn hồ sơ (bao gồm Thẩm định kỹ thuật và thẩm định tín dụng).</w:t>
      </w:r>
    </w:p>
    <w:p>
      <w:pPr>
        <w:spacing w:after="0" w:before="0" w:lineRule="auto" w:line="276"/>
        <w:jc w:val="both"/>
      </w:pPr>
      <w:r>
        <w:rPr>
          <w:rFonts w:ascii="Times New Roman" w:hAnsi="Times New Roman" w:cs="Times New Roman" w:eastAsia="Times New Roman"/>
          <w:b w:val="false"/>
          <w:sz w:val="26"/>
        </w:rPr>
        <w:t>Bước 3: Quỹ thông báo Quyết định cho vay đối với hồ sơ được chấp nhận.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 Tháng</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Bộ phận Một cửa, Quỹ Phát triển khoa học và công nghệ Quốc gia (113 Trần Duy Hưng, Phường Trung Hòa, Quận Cầu Giấy, Thành phố Hà Nội)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 Tháng</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Quỹ Phát triển khoa học và công nghệ Quốc gia (113 Trần Duy Hưng, Phường Trung Hòa, Quận Cầu Giấy, Thành phố Hà Nội)..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vay vốn;</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dự án ứng dụng kết quả nghiên cứu khoa học và phát triển công nghệ vào sản xuất và đời sống;</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pháp lý của khách hàng gồm: đăng ký kinh doanh và điều lệ doanh nghiệp; giấy tờ chứng minh năng lực pháp lý; giấy tờ chứng minh người đại diện theo pháp luật và văn bản phê duyệt phương án vay vốn;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pháp lý của dự án: văn bản phê duyệt của các cơ quan có thẩm quyền và các cơ quan chức năng về dự án đầu tư (nếu có). Các giấy phép, bản quyền cho công nghệ ứng dụng, các hạng mục xây dựng, xuất nhập khẩu, sản xuất sản phẩm của dự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năng lực tài chính, năng lực quản lý, chuyên môn, cơ sở vật chất kỹ thuật của khách hàng: báo cáo tài chính có kiểm toán 2 năm gần nhất; xác nhận của cơ quan thuế; nhân lực theo ngành nghề phục vụ cho việc triển khai dự án; các dự án tương tự đã thực hiện; mặt bằng, nhà xưởng máy móc thiết bị;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bảo đảm tiền vay cho khoản vay: các giấy tờ chứng minh quyền sở hữu, quyền quản lý, quyền sử dụng; định giá tài sản; bảo hiểm rủi ro;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khác theo quy định của Ngân hàng nhận ủy thác.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Quỹ Phát triển khoa học và công nghệ quốc gia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Quỹ Phát triển khoa học và công nghệ Quốc gia (113 Trần Duy Hưng, Phường Trung Hòa, Quận Cầu Giấy, Thành phố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vay vốn từ nguồn vốn của Quỹ Phát triển khoa học và công nghệ Quốc gia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29/2013/QH13</w:t>
            </w:r>
          </w:p>
        </w:tc>
        <w:tc>
          <w:p/>
          <w:p>
            <w:pPr>
              <w:spacing w:after="0" w:before="0" w:lineRule="auto" w:line="276"/>
              <w:jc w:val="left"/>
            </w:pPr>
            <w:r>
              <w:rPr>
                <w:rFonts w:ascii="Times New Roman" w:hAnsi="Times New Roman" w:cs="Times New Roman" w:eastAsia="Times New Roman"/>
                <w:b w:val="false"/>
                <w:sz w:val="26"/>
              </w:rPr>
              <w:t>Luật 29/2013/QH13</w:t>
            </w:r>
          </w:p>
        </w:tc>
        <w:tc>
          <w:p/>
          <w:p>
            <w:pPr>
              <w:spacing w:after="0" w:before="0" w:lineRule="auto" w:line="276"/>
              <w:jc w:val="left"/>
            </w:pPr>
            <w:r>
              <w:rPr>
                <w:rFonts w:ascii="Times New Roman" w:hAnsi="Times New Roman" w:cs="Times New Roman" w:eastAsia="Times New Roman"/>
                <w:b w:val="false"/>
                <w:sz w:val="26"/>
              </w:rPr>
              <w:t>18-06-2013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26/2012/TT-NHNN	26/2012/TT-NHNN	</w:t>
            </w:r>
          </w:p>
        </w:tc>
        <w:tc>
          <w:p/>
          <w:p>
            <w:pPr>
              <w:spacing w:after="0" w:before="0" w:lineRule="auto" w:line="276"/>
              <w:jc w:val="left"/>
            </w:pPr>
            <w:r>
              <w:rPr>
                <w:rFonts w:ascii="Times New Roman" w:hAnsi="Times New Roman" w:cs="Times New Roman" w:eastAsia="Times New Roman"/>
                <w:b w:val="false"/>
                <w:sz w:val="26"/>
              </w:rPr>
              <w:t>Thông tư 26/2012/TT-NHNN	 Luật 47/2010/QH12</w:t>
            </w:r>
          </w:p>
        </w:tc>
        <w:tc>
          <w:p/>
          <w:p>
            <w:pPr>
              <w:spacing w:after="0" w:before="0" w:lineRule="auto" w:line="276"/>
              <w:jc w:val="left"/>
            </w:pPr>
            <w:r>
              <w:rPr>
                <w:rFonts w:ascii="Times New Roman" w:hAnsi="Times New Roman" w:cs="Times New Roman" w:eastAsia="Times New Roman"/>
                <w:b w:val="false"/>
                <w:sz w:val="26"/>
              </w:rPr>
              <w:t>13-09-2012</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14/2016/TT-BKHCN</w:t>
            </w:r>
          </w:p>
        </w:tc>
        <w:tc>
          <w:p/>
          <w:p>
            <w:pPr>
              <w:spacing w:after="0" w:before="0" w:lineRule="auto" w:line="276"/>
              <w:jc w:val="left"/>
            </w:pPr>
            <w:r>
              <w:rPr>
                <w:rFonts w:ascii="Times New Roman" w:hAnsi="Times New Roman" w:cs="Times New Roman" w:eastAsia="Times New Roman"/>
                <w:b w:val="false"/>
                <w:sz w:val="26"/>
              </w:rPr>
              <w:t>Thông tư 14/2016/TT-BKHCN-Quản lý các hoạt động cho vay từ nguồn vốn của Quỹ Phát triển khoa học và công nghệ Quốc gia</w:t>
            </w:r>
          </w:p>
        </w:tc>
        <w:tc>
          <w:p/>
          <w:p>
            <w:pPr>
              <w:spacing w:after="0" w:before="0" w:lineRule="auto" w:line="276"/>
              <w:jc w:val="left"/>
            </w:pPr>
            <w:r>
              <w:rPr>
                <w:rFonts w:ascii="Times New Roman" w:hAnsi="Times New Roman" w:cs="Times New Roman" w:eastAsia="Times New Roman"/>
                <w:b w:val="false"/>
                <w:sz w:val="26"/>
              </w:rPr>
              <w:t>30-06-2016</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Khách hàng vay vốn phải đáp ứng các yêu cầu sau:
+ Có đầy đủ năng lực pháp luật dân sự, năng lực hành vi dân sự và chịu trách nhiệm dân sự theo quy định của pháp luật;
+ Có đủ năng lực chuyên môn và điều kiện cơ sở vật chất để thực hiện dự án vay vốn theo quy định;
+ Thực hiện các quy định về bảo đảm tiền vay theo quy định tại Điều 7 Thông tư số 14/2016/TT-BKHCN và các quy định của pháp luật có liên quan;
+ Tại thời điểm đề nghị vay vốn, không có các khoản nợ đọng thuế, nợ xấu tại các tổ chức tín dụng, chi nhánh ngân hàng nước ngoài;
+ Có vốn tự có tham gia thực hiện dự án tối thiểu là 20% tổng vốn đầu tư của dự án.
- Dự án vay vốn phải đáp ứng các yêu cầu sau:
+ Dự án đã được cơ quan có thẩm quyền phê duyệt (bao gồm cả xác nhận đánh giá tác động môi trường theo quy định của pháp luật về bảo vệ môi trường);
+ Công nghệ thuộc quyền sử dụng hợp pháp của khách hàng và không thuộc danh mục công nghệ hạn chế chuyển giao hoặc danh mục công nghệ cấm chuyển giao;
+ Sản phẩm của dự án được sản xuất và lưu hành theo quy định của pháp luật.
- Yêu cầu đối với bên nhận ủy thác (Tổ chức tín dụng và chi nhánh ngân hàng nước ngoài):
+ Đáp ứng các điều kiện về thực hiện nhận ủy thác theo quy định tại Điều 8 Thông tư số 30/2014/TT-NHNN ngày 06 tháng 11 năm 2014 của Thống đốc Ngân hàng Nhà nước quy định về ủy thác và nhận ủy thác của tổ chức tín dụng, chi nhánh ngân hàng nước ngoài;
+ Cam kết cấp tín dụng tối thiểu 30% tổng vốn đầu tư của dự án đã được Quỹ chấp thuận cho vay, trừ trường hợp Ngân hàng bảo lãnh cho khách hàng 100% giá trị khoản vay;
+ Trường hợp có nhiều ngân hàng đáp ứng được các yêu cầu nêu trên, Quỹ sẽ lựa chọn ngân hàng có tỷ lệ nợ xấu thấp nhất tại thời điểm xem xét lựa chọn Ngân hàng nhận ủy thác.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https://thutuc.dichvucong.gov.vn/p/home/dvc-tthc-thu-tuc-hanh-chinh-chi-tiet.html?ma_thu_tuc=2222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2025-11-27T16:39:20Z</dcterms:created>
  <dc:creator>Apache POI</dc:creator>
</cp:coreProperties>
</file>