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chấp thuận thay đổi địa điểm đặt trụ sở chính của tổ chức tài chính vi mô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tài chính vi mô lập 01 bộ hồ sơ theo quy định gửi Ngân hàng Nhà nước. Trường hợp hồ sơ chưa đầy đủ, trong thời hạn 03 ngày làm việc kể từ ngày nhận được hồ sơ, Ngân hàng Nhà nước có văn bản yêu cầu tổ chức tài chính vi mô bổ sung hồ sơ;
Bước 2: Trong thời hạn 30 ngày kể từ ngày nhận đủ hồ sơ hợp lệ, Ngân hàng Nhà nước ra quyết định sửa đổi, bổ sung Giấy phép của tổ chức tài chính vi mô;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thay đổi địa điểm đặt trụ sở chính, trong đó tối thiểu bao gồm các nội dung sau: (i) Địa điểm được quy định trong Giấy phép; (ii) Địa điểm dự kiến thay đổi, trong đó xác định rõ: tên tòa nhà (đối với các tòa nhà văn phòng cho thuê), số nhà, tên phố (ngõ) và tên xã, phường, thị trấn, quận, huyện, thị xã, thành phố trực thuộc Trung ương. Địa điểm dự kiến thay đổi phải đảm bảo các quy định của Ngân hàng Nhà nước về trụ sở chính; (iii) Lý do thay đổi; (iv) Kế hoạch chuyển trụ sở chính đảm bảo tính liên tục trong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của Hội đồng thành viên thông qua việc thay đổi địa điểm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tài liệu chứng minh tổ chức tài chính vi mô có quyền sử dụng hoặc sở hữu hợp pháp trụ sở tại địa điểm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việc thay đổi địa điểm đặt trụ sở chính của tổ chức tài chính vi mô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10/2018/TT-NHNN</w:t>
            </w:r>
          </w:p>
        </w:tc>
        <w:tc>
          <w:p/>
          <w:p>
            <w:pPr>
              <w:spacing w:after="0" w:before="0" w:lineRule="auto" w:line="276"/>
              <w:jc w:val="left"/>
            </w:pPr>
            <w:r>
              <w:rPr>
                <w:rFonts w:ascii="Times New Roman" w:hAnsi="Times New Roman" w:cs="Times New Roman" w:eastAsia="Times New Roman"/>
                <w:b w:val="false"/>
                <w:sz w:val="26"/>
              </w:rPr>
              <w:t>Quy định hồ sơ, trình tự, thủ tục chấp thuận những thay đổi của tổ chức tài chính vi mô</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2025-11-27T16:39:26Z</dcterms:created>
  <dc:creator>Apache POI</dc:creator>
</cp:coreProperties>
</file>