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1728a/QĐ-NHNN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vay tái cấp vốn theo hình thức có bảo đảm bằng cầm cố giấy tờ có giá của tổ chức tín dụng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tiền tệ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Khi có nhu cầu vay cầm cố tại Ngân hàng Nhà nước, tổ chức tín dụng gửi hồ sơ tới Ngân hàng Nhà nước.</w:t>
      </w:r>
    </w:p>
    <w:p>
      <w:pPr>
        <w:spacing w:after="0" w:before="0" w:lineRule="auto" w:line="276"/>
        <w:jc w:val="both"/>
      </w:pPr>
      <w:r>
        <w:rPr>
          <w:rFonts w:ascii="Times New Roman" w:hAnsi="Times New Roman" w:cs="Times New Roman" w:eastAsia="Times New Roman"/>
          <w:b w:val="false"/>
          <w:sz w:val="26"/>
        </w:rPr>
        <w:t>- Bước 2:
Căn cứ vào hồ sơ đề nghị vay cầm cố của tổ chức tín dụng, Ngân hàng Nhà nước xem xét đề nghị vay của tổ chức tín dụng.</w:t>
      </w:r>
    </w:p>
    <w:p>
      <w:pPr>
        <w:spacing w:after="0" w:before="0" w:lineRule="auto" w:line="276"/>
        <w:jc w:val="both"/>
      </w:pPr>
      <w:r>
        <w:rPr>
          <w:rFonts w:ascii="Times New Roman" w:hAnsi="Times New Roman" w:cs="Times New Roman" w:eastAsia="Times New Roman"/>
          <w:b w:val="false"/>
          <w:sz w:val="26"/>
        </w:rPr>
        <w:t>- Bước 3:
Trong thời hạn tối đa 02 ngày làm việc kể từ ngày nhận được đủ hồ sơ hợp lệ, Ngân hàng Nhà nước thông báo bằng văn bản cho tổ chức tín dụng đề nghị vay về việc chấp thuận hay không chấp thuận cho vay cầm cố.</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vay vốn theo hình thức cho vay có bảo đảm bằng cầm cố giấy tờ có giá (theo Mẫu 01/NHNN-CC kèm theo Thông tư 17/2011/TT-NHNN ngày 18/8/2011 của Ngân hàng Nhà nước quy định về việc cho vay có bảo đảm bằng cầm cố giấy tờ có giá của Ngân hàng Nhà nước Việt Nam với các tổ chức tín dụng);</w:t>
            </w:r>
          </w:p>
        </w:tc>
        <w:tc>
          <w:p/>
          <w:p>
            <w:pPr>
              <w:spacing w:after="0" w:before="0" w:lineRule="auto" w:line="276"/>
              <w:jc w:val="left"/>
            </w:pPr>
            <w:r>
              <w:rPr>
                <w:rFonts w:ascii="Times New Roman" w:hAnsi="Times New Roman" w:cs="Times New Roman" w:eastAsia="Times New Roman"/>
                <w:b w:val="false"/>
                <w:sz w:val="26"/>
              </w:rPr>
              <w:t>mau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các giấy tờ có giá đề nghị cầm cố để vay vốn tại Ngân hàng Nhà nước Việt Nam có xác nhận của tổ chức phát hành, đại lý phát hành hoặc tổ chức lưu ký (theo Mẫu 02a/NHNN-CC kèm theo Thông tư 17/2011/TT-NHNN);</w:t>
            </w:r>
          </w:p>
        </w:tc>
        <w:tc>
          <w:p/>
          <w:p>
            <w:pPr>
              <w:spacing w:after="0" w:before="0" w:lineRule="auto" w:line="276"/>
              <w:jc w:val="left"/>
            </w:pPr>
            <w:r>
              <w:rPr>
                <w:rFonts w:ascii="Times New Roman" w:hAnsi="Times New Roman" w:cs="Times New Roman" w:eastAsia="Times New Roman"/>
                <w:b w:val="false"/>
                <w:sz w:val="26"/>
              </w:rPr>
              <w:t>Mu 02a.doc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Một số chỉ tiêu về nguồn vốn và sử dụng vốn bằng đồng Việt Nam (theo Mẫu 03/NHNN-CC kèm theo Thông tư 17/2011/TT-NHNN);</w:t>
            </w:r>
          </w:p>
        </w:tc>
        <w:tc>
          <w:p/>
          <w:p>
            <w:pPr>
              <w:spacing w:after="0" w:before="0" w:lineRule="auto" w:line="276"/>
              <w:jc w:val="left"/>
            </w:pPr>
            <w:r>
              <w:rPr>
                <w:rFonts w:ascii="Times New Roman" w:hAnsi="Times New Roman" w:cs="Times New Roman" w:eastAsia="Times New Roman"/>
                <w:b w:val="false"/>
                <w:sz w:val="26"/>
              </w:rPr>
              <w:t>Mu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Tình hình giao dịch của tổ chức tín dụng với Ngân hàng Nhà nước Việt Nam (theo Mẫu 04/NHNN-CC kèm theo Thông tư 17/2011/TT-NHNN);</w:t>
            </w:r>
          </w:p>
        </w:tc>
        <w:tc>
          <w:p/>
          <w:p>
            <w:pPr>
              <w:spacing w:after="0" w:before="0" w:lineRule="auto" w:line="276"/>
              <w:jc w:val="left"/>
            </w:pPr>
            <w:r>
              <w:rPr>
                <w:rFonts w:ascii="Times New Roman" w:hAnsi="Times New Roman" w:cs="Times New Roman" w:eastAsia="Times New Roman"/>
                <w:b w:val="false"/>
                <w:sz w:val="26"/>
              </w:rPr>
              <w:t>Mu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tính toán nhu cầu vay vốn VND từ Ngân hàng Nhà nước Việt Nam theo (theo Mẫu 05/NHNN-CC kèm theo Thông tư 17/2011/TT-NHNN);</w:t>
            </w:r>
          </w:p>
        </w:tc>
        <w:tc>
          <w:p/>
          <w:p>
            <w:pPr>
              <w:spacing w:after="0" w:before="0" w:lineRule="auto" w:line="276"/>
              <w:jc w:val="left"/>
            </w:pPr>
            <w:r>
              <w:rPr>
                <w:rFonts w:ascii="Times New Roman" w:hAnsi="Times New Roman" w:cs="Times New Roman" w:eastAsia="Times New Roman"/>
                <w:b w:val="false"/>
                <w:sz w:val="26"/>
              </w:rPr>
              <w:t>Mu 05.doc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cân đối kế toán của tổ chức tín dụng tại thời điểm gần nhất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vay tái cấp vốn theo hình thức có bảo đảm bằng cầm cố giấy tờ có giá của tổ chức tín dụng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17/2011/TT-NHNN	</w:t>
            </w:r>
          </w:p>
        </w:tc>
        <w:tc>
          <w:p/>
          <w:p>
            <w:pPr>
              <w:spacing w:after="0" w:before="0" w:lineRule="auto" w:line="276"/>
              <w:jc w:val="left"/>
            </w:pPr>
            <w:r>
              <w:rPr>
                <w:rFonts w:ascii="Times New Roman" w:hAnsi="Times New Roman" w:cs="Times New Roman" w:eastAsia="Times New Roman"/>
                <w:b w:val="false"/>
                <w:sz w:val="26"/>
              </w:rPr>
              <w:t>	 Thông tư 17/2011/TT-NHNN</w:t>
            </w:r>
          </w:p>
        </w:tc>
        <w:tc>
          <w:p/>
          <w:p>
            <w:pPr>
              <w:spacing w:after="0" w:before="0" w:lineRule="auto" w:line="276"/>
              <w:jc w:val="left"/>
            </w:pPr>
            <w:r>
              <w:rPr>
                <w:rFonts w:ascii="Times New Roman" w:hAnsi="Times New Roman" w:cs="Times New Roman" w:eastAsia="Times New Roman"/>
                <w:b w:val="false"/>
                <w:sz w:val="26"/>
              </w:rPr>
              <w:t>18-08-2011</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37/2011/TT-NHNN</w:t>
            </w:r>
          </w:p>
        </w:tc>
        <w:tc>
          <w:p/>
          <w:p>
            <w:pPr>
              <w:spacing w:after="0" w:before="0" w:lineRule="auto" w:line="276"/>
              <w:jc w:val="left"/>
            </w:pPr>
            <w:r>
              <w:rPr>
                <w:rFonts w:ascii="Times New Roman" w:hAnsi="Times New Roman" w:cs="Times New Roman" w:eastAsia="Times New Roman"/>
                <w:b w:val="false"/>
                <w:sz w:val="26"/>
              </w:rPr>
              <w:t>Thông tư 37/2011/TT-NHNN</w:t>
            </w:r>
          </w:p>
        </w:tc>
        <w:tc>
          <w:p/>
          <w:p>
            <w:pPr>
              <w:spacing w:after="0" w:before="0" w:lineRule="auto" w:line="276"/>
              <w:jc w:val="left"/>
            </w:pPr>
            <w:r>
              <w:rPr>
                <w:rFonts w:ascii="Times New Roman" w:hAnsi="Times New Roman" w:cs="Times New Roman" w:eastAsia="Times New Roman"/>
                <w:b w:val="false"/>
                <w:sz w:val="26"/>
              </w:rPr>
              <w:t>12-12-2011</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các tổ chức tín dụng quy định tại Điều 3 Thông tư 17/2011/TT-NHNN và không bị đặt vào tình trạng kiểm soát đặc biệt;
+ Có giấy tờ có giá đủ tiêu chuẩn và thuộc danh mục các giấy tờ có giá được sử dụng cầm cố vay vốn tại Ngân hàng Nhà nước theo quy định tại Điều 8 của Thông tư Thông tư 17/2011/TT-NHNN;
+ Có mục đích vay vốn phù hợp với mục tiêu điều hành chính sách tiền tệ của Ngân hàng Nhà nước trong từng thời kỳ;
+ Có hồ sơ đề nghị vay cầm cố tại Ngân hàng Nhà nước theo đúng quy định tại Điều 15 của Thông tư Thông tư 17/2011/TT-NHNN;
+ Không có nợ quá hạn tại Ngân hàng Nhà nước tại thời điểm đề nghị vay vốn;
+ Có cam kết về sử dụng tiền vay cầm cố đúng mục đích, trả nợ gốc và lãi cho Ngân hàng Nhà nước đúng thời gian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2025-11-27T16:39:35Z</dcterms:created>
  <dc:creator>Apache POI</dc:creator>
</cp:coreProperties>
</file>