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559/QĐ-BNNMT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phê duyệt dự án JCM (TTHC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Biến đổi khí hậu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Bên tham gia dự án gửi hồ sơ đăng ký dự án cho Tổ thư ký qua thư điện tử để xem xét, đệ trình lên Ủy ban Hỗn hợp.</w:t>
      </w:r>
    </w:p>
    <w:p>
      <w:pPr>
        <w:spacing w:after="0" w:before="0" w:lineRule="auto" w:line="276"/>
        <w:jc w:val="both"/>
      </w:pPr>
      <w:r>
        <w:rPr>
          <w:rFonts w:ascii="Times New Roman" w:hAnsi="Times New Roman" w:cs="Times New Roman" w:eastAsia="Times New Roman"/>
          <w:b w:val="false"/>
          <w:sz w:val="26"/>
        </w:rPr>
        <w:t>Tổ thư ký cấp số tham chiếu cho dự án và thông báo việc tiếp nhận hồ sơ cùng số tham chiếu của dự án đến bên tham gia dự án.</w:t>
      </w:r>
    </w:p>
    <w:p>
      <w:pPr>
        <w:spacing w:after="0" w:before="0" w:lineRule="auto" w:line="276"/>
        <w:jc w:val="both"/>
      </w:pPr>
      <w:r>
        <w:rPr>
          <w:rFonts w:ascii="Times New Roman" w:hAnsi="Times New Roman" w:cs="Times New Roman" w:eastAsia="Times New Roman"/>
          <w:b w:val="false"/>
          <w:sz w:val="26"/>
        </w:rPr>
        <w:t>Hồ sơ đăng ký dự án và TPE dự kiến được đăng trên trang thông tin điện tử của JCM và lấy ý kiến công chúng.</w:t>
      </w:r>
    </w:p>
    <w:p>
      <w:pPr>
        <w:spacing w:after="0" w:before="0" w:lineRule="auto" w:line="276"/>
        <w:jc w:val="both"/>
      </w:pPr>
      <w:r>
        <w:rPr>
          <w:rFonts w:ascii="Times New Roman" w:hAnsi="Times New Roman" w:cs="Times New Roman" w:eastAsia="Times New Roman"/>
          <w:b w:val="false"/>
          <w:sz w:val="26"/>
        </w:rPr>
        <w:t>Sau thời hạn lấy ý kiến công chúng, Tổ thư ký tổng hợp ý kiến góp ý của công chúng về dự án và trình hồ sơ cùng ý kiến góp ý lên Ủy ban Hỗn hợp.</w:t>
      </w:r>
    </w:p>
    <w:p>
      <w:pPr>
        <w:spacing w:after="0" w:before="0" w:lineRule="auto" w:line="276"/>
        <w:jc w:val="both"/>
      </w:pPr>
      <w:r>
        <w:rPr>
          <w:rFonts w:ascii="Times New Roman" w:hAnsi="Times New Roman" w:cs="Times New Roman" w:eastAsia="Times New Roman"/>
          <w:b w:val="false"/>
          <w:sz w:val="26"/>
        </w:rPr>
        <w:t>Bên tham gia dự án gửi đơn đăng ký dự án bằng tiếng Việt và tiếng Anh đã được TPE thẩm định đạt yêu cầu dự án kèm theo báo cáo thẩm định của TPE đến Tổ thư ký qua thư điện tử.</w:t>
      </w:r>
    </w:p>
    <w:p>
      <w:pPr>
        <w:spacing w:after="0" w:before="0" w:lineRule="auto" w:line="276"/>
        <w:jc w:val="both"/>
      </w:pPr>
      <w:r>
        <w:rPr>
          <w:rFonts w:ascii="Times New Roman" w:hAnsi="Times New Roman" w:cs="Times New Roman" w:eastAsia="Times New Roman"/>
          <w:b w:val="false"/>
          <w:sz w:val="26"/>
        </w:rPr>
        <w:t>Sau khi nhận được hồ sơ đăng ký dự án kèm theo báo cáo thẩm định của TPE, Tổ thư ký thông báo qua thư điện tử cho bên tham gia dự án việc tiếp nhận hồ sơ và đăng thông tin liên quan về dự án trên trang thông tin điện tử của JCM.
Tổ thư ký kiểm tra và thông báo cho bên tham gia dự án và TPE của dự án về tính hợp lệ và đầy đủ của hồ sơ qua thư điện tử. Trường hợp cần bổ sung thông tin, Tổ thư ký thông báo cho bên tham gia và TPE của dự án để gửi lại.
Đối với hồ sơ hợp lệ và đầy đủ, Tổ thư ký trình Ủy ban Hỗn hợp xem xét và quyết định việc đăng ký dự án</w:t>
      </w:r>
    </w:p>
    <w:p>
      <w:pPr>
        <w:spacing w:after="0" w:before="0" w:lineRule="auto" w:line="276"/>
        <w:jc w:val="both"/>
      </w:pPr>
      <w:r>
        <w:rPr>
          <w:rFonts w:ascii="Times New Roman" w:hAnsi="Times New Roman" w:cs="Times New Roman" w:eastAsia="Times New Roman"/>
          <w:b w:val="false"/>
          <w:sz w:val="26"/>
        </w:rPr>
        <w:t>Sau khi nhận được hồ sơ đăng ký dự án từ Tổ thư ký, Ủy ban Hỗn hợp xem xét và ra quyết định phê duyệt hoặc không phê duyệt dự án kèm theo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Thời hạn lấy ý kiến công chúng : Ba mươi (30) ngày. - Thời hạn kiểm tra tính đầy đủ hồ sơ: Bảy (07) ngày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đăng ký dự án JCM bằng tiếng Việt</w:t>
            </w:r>
          </w:p>
        </w:tc>
        <w:tc>
          <w:p/>
          <w:p>
            <w:pPr>
              <w:spacing w:after="0" w:before="0" w:lineRule="auto" w:line="276"/>
              <w:jc w:val="left"/>
            </w:pPr>
            <w:r>
              <w:rPr>
                <w:rFonts w:ascii="Times New Roman" w:hAnsi="Times New Roman" w:cs="Times New Roman" w:eastAsia="Times New Roman"/>
                <w:b w:val="false"/>
                <w:sz w:val="26"/>
              </w:rPr>
              <w:t>Mẫu 15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đề nghị đăng ký dự án JCM bằng tiếng Anh</w:t>
            </w:r>
          </w:p>
        </w:tc>
        <w:tc>
          <w:p/>
          <w:p>
            <w:pPr>
              <w:spacing w:after="0" w:before="0" w:lineRule="auto" w:line="276"/>
              <w:jc w:val="left"/>
            </w:pPr>
            <w:r>
              <w:rPr>
                <w:rFonts w:ascii="Times New Roman" w:hAnsi="Times New Roman" w:cs="Times New Roman" w:eastAsia="Times New Roman"/>
                <w:b w:val="false"/>
                <w:sz w:val="26"/>
              </w:rPr>
              <w:t>Mẫu 16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Tài liệu thiết kế dự án (PDD) bằng tiếng Việt</w:t>
            </w:r>
          </w:p>
        </w:tc>
        <w:tc>
          <w:p/>
          <w:p>
            <w:pPr>
              <w:spacing w:after="0" w:before="0" w:lineRule="auto" w:line="276"/>
              <w:jc w:val="left"/>
            </w:pPr>
            <w:r>
              <w:rPr>
                <w:rFonts w:ascii="Times New Roman" w:hAnsi="Times New Roman" w:cs="Times New Roman" w:eastAsia="Times New Roman"/>
                <w:b w:val="false"/>
                <w:sz w:val="26"/>
              </w:rPr>
              <w:t>Mẫu 7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Tài liệu thiết kế dự án (PDD) bằng tiếng Anh</w:t>
            </w:r>
          </w:p>
        </w:tc>
        <w:tc>
          <w:p/>
          <w:p>
            <w:pPr>
              <w:spacing w:after="0" w:before="0" w:lineRule="auto" w:line="276"/>
              <w:jc w:val="left"/>
            </w:pPr>
            <w:r>
              <w:rPr>
                <w:rFonts w:ascii="Times New Roman" w:hAnsi="Times New Roman" w:cs="Times New Roman" w:eastAsia="Times New Roman"/>
                <w:b w:val="false"/>
                <w:sz w:val="26"/>
              </w:rPr>
              <w:t>Mẫu 8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kế hoạch giám sát (theo mẫu quy định tại Phụ lục 5</w:t>
            </w:r>
          </w:p>
        </w:tc>
        <w:tc>
          <w:p/>
          <w:p>
            <w:pPr>
              <w:spacing w:after="0" w:before="0" w:lineRule="auto" w:line="276"/>
              <w:jc w:val="left"/>
            </w:pPr>
            <w:r>
              <w:rPr>
                <w:rFonts w:ascii="Times New Roman" w:hAnsi="Times New Roman" w:cs="Times New Roman" w:eastAsia="Times New Roman"/>
                <w:b w:val="false"/>
                <w:sz w:val="26"/>
              </w:rPr>
              <w:t>Mẫu 9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kế hoạch giám sát (theo mẫu quy định tại Phụ lục 5a</w:t>
            </w:r>
          </w:p>
        </w:tc>
        <w:tc>
          <w:p/>
          <w:p>
            <w:pPr>
              <w:spacing w:after="0" w:before="0" w:lineRule="auto" w:line="276"/>
              <w:jc w:val="left"/>
            </w:pPr>
            <w:r>
              <w:rPr>
                <w:rFonts w:ascii="Times New Roman" w:hAnsi="Times New Roman" w:cs="Times New Roman" w:eastAsia="Times New Roman"/>
                <w:b w:val="false"/>
                <w:sz w:val="26"/>
              </w:rPr>
              <w:t>Mẫu 10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thức liên lạc (MoC) bằng tiếng Việt</w:t>
            </w:r>
          </w:p>
        </w:tc>
        <w:tc>
          <w:p/>
          <w:p>
            <w:pPr>
              <w:spacing w:after="0" w:before="0" w:lineRule="auto" w:line="276"/>
              <w:jc w:val="left"/>
            </w:pPr>
            <w:r>
              <w:rPr>
                <w:rFonts w:ascii="Times New Roman" w:hAnsi="Times New Roman" w:cs="Times New Roman" w:eastAsia="Times New Roman"/>
                <w:b w:val="false"/>
                <w:sz w:val="26"/>
              </w:rPr>
              <w:t>Mẫu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thức liên lạc (MoC) bằng tiếng Anh</w:t>
            </w:r>
          </w:p>
        </w:tc>
        <w:tc>
          <w:p/>
          <w:p>
            <w:pPr>
              <w:spacing w:after="0" w:before="0" w:lineRule="auto" w:line="276"/>
              <w:jc w:val="left"/>
            </w:pPr>
            <w:r>
              <w:rPr>
                <w:rFonts w:ascii="Times New Roman" w:hAnsi="Times New Roman" w:cs="Times New Roman" w:eastAsia="Times New Roman"/>
                <w:b w:val="false"/>
                <w:sz w:val="26"/>
              </w:rPr>
              <w:t>Mẫu 12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thẩm định PDD của TPE bằng tiếng Việt</w:t>
            </w:r>
          </w:p>
        </w:tc>
        <w:tc>
          <w:p/>
          <w:p>
            <w:pPr>
              <w:spacing w:after="0" w:before="0" w:lineRule="auto" w:line="276"/>
              <w:jc w:val="left"/>
            </w:pPr>
            <w:r>
              <w:rPr>
                <w:rFonts w:ascii="Times New Roman" w:hAnsi="Times New Roman" w:cs="Times New Roman" w:eastAsia="Times New Roman"/>
                <w:b w:val="false"/>
                <w:sz w:val="26"/>
              </w:rPr>
              <w:t>Mẫu 13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thẩm định PDD của TPE bằng tiếng Anh</w:t>
            </w:r>
          </w:p>
        </w:tc>
        <w:tc>
          <w:p/>
          <w:p>
            <w:pPr>
              <w:spacing w:after="0" w:before="0" w:lineRule="auto" w:line="276"/>
              <w:jc w:val="left"/>
            </w:pPr>
            <w:r>
              <w:rPr>
                <w:rFonts w:ascii="Times New Roman" w:hAnsi="Times New Roman" w:cs="Times New Roman" w:eastAsia="Times New Roman"/>
                <w:b w:val="false"/>
                <w:sz w:val="26"/>
              </w:rPr>
              <w:t>Mẫu 14 (2).docx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hỗ trợ của cơ chế JCM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hoặc không phê duyệt dự án JCM kèm theo lý do.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17/2015/TT-BTNMT</w:t>
            </w:r>
          </w:p>
        </w:tc>
        <w:tc>
          <w:p/>
          <w:p>
            <w:pPr>
              <w:spacing w:after="0" w:before="0" w:lineRule="auto" w:line="276"/>
              <w:jc w:val="left"/>
            </w:pPr>
            <w:r>
              <w:rPr>
                <w:rFonts w:ascii="Times New Roman" w:hAnsi="Times New Roman" w:cs="Times New Roman" w:eastAsia="Times New Roman"/>
                <w:b w:val="false"/>
                <w:sz w:val="26"/>
              </w:rPr>
              <w:t>Quy định việc xây dựng và thực hiện dự án theo Cơ chế tín chỉ chung trong khuôn khổ hợp tác Việt Nam và Nhật Bản</w:t>
            </w:r>
          </w:p>
        </w:tc>
        <w:tc>
          <w:p/>
          <w:p>
            <w:pPr>
              <w:spacing w:after="0" w:before="0" w:lineRule="auto" w:line="276"/>
              <w:jc w:val="left"/>
            </w:pPr>
            <w:r>
              <w:rPr>
                <w:rFonts w:ascii="Times New Roman" w:hAnsi="Times New Roman" w:cs="Times New Roman" w:eastAsia="Times New Roman"/>
                <w:b w:val="false"/>
                <w:sz w:val="26"/>
              </w:rPr>
              <w:t>06-04-2015</w:t>
            </w:r>
          </w:p>
        </w:tc>
        <w:tc>
          <w:p/>
          <w:p>
            <w:pPr>
              <w:spacing w:after="0" w:before="0" w:lineRule="auto" w:line="276"/>
              <w:jc w:val="left"/>
            </w:pPr>
            <w:r>
              <w:rPr>
                <w:rFonts w:ascii="Times New Roman" w:hAnsi="Times New Roman" w:cs="Times New Roman" w:eastAsia="Times New Roman"/>
                <w:b w:val="false"/>
                <w:sz w:val="26"/>
              </w:rPr>
              <w:t>Bộ Tài nguyên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https://thutuc.dichvucong.gov.vn/p/home/dvc-tthc-thu-tuc-hanh-chinh-chi-tiet.html?ma_thu_tuc=2245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2025-11-27T16:39:33Z</dcterms:created>
  <dc:creator>Apache POI</dc:creator>
</cp:coreProperties>
</file>