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7DAD" w:rsidRDefault="0027241F">
      <w:pPr>
        <w:spacing w:after="300" w:line="276" w:lineRule="auto"/>
        <w:jc w:val="center"/>
      </w:pPr>
      <w:r>
        <w:rPr>
          <w:rFonts w:ascii="Times New Roman" w:eastAsia="Times New Roman" w:hAnsi="Times New Roman" w:cs="Times New Roman"/>
          <w:b/>
          <w:sz w:val="26"/>
        </w:rPr>
        <w:t>Chi tiết thủ tục hành chính</w:t>
      </w:r>
    </w:p>
    <w:p w:rsidR="00BE7DAD" w:rsidRDefault="0027241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1.001548</w:t>
      </w:r>
    </w:p>
    <w:p w:rsidR="00BE7DAD" w:rsidRDefault="0027241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753/QĐ-BKHCN</w:t>
      </w:r>
    </w:p>
    <w:p w:rsidR="00BE7DAD" w:rsidRDefault="0027241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đánh giá, nghiệm thu và công nhận kết quả thực hiện dự án thuộc Chương trình Nông thôn, miền núi do Trung ương quản lý</w:t>
      </w:r>
    </w:p>
    <w:p w:rsidR="00BE7DAD" w:rsidRDefault="0027241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BE7DAD" w:rsidRDefault="0027241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E7DAD" w:rsidRDefault="0027241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Hoạt động khoa học và công nghệ</w:t>
      </w:r>
    </w:p>
    <w:p w:rsidR="00BE7DAD" w:rsidRDefault="0027241F">
      <w:pPr>
        <w:spacing w:after="0" w:line="276" w:lineRule="auto"/>
        <w:jc w:val="both"/>
      </w:pPr>
      <w:r>
        <w:rPr>
          <w:rFonts w:ascii="Times New Roman" w:eastAsia="Times New Roman" w:hAnsi="Times New Roman" w:cs="Times New Roman"/>
          <w:b/>
          <w:sz w:val="26"/>
        </w:rPr>
        <w:t xml:space="preserve">Trình tự thực hiện: </w:t>
      </w:r>
    </w:p>
    <w:p w:rsidR="00BE7DAD" w:rsidRDefault="00BE7DAD">
      <w:pPr>
        <w:shd w:val="clear" w:color="auto" w:fill="F2F6F9"/>
        <w:spacing w:before="120" w:after="0" w:line="276" w:lineRule="auto"/>
        <w:jc w:val="both"/>
      </w:pPr>
    </w:p>
    <w:p w:rsidR="00BE7DAD" w:rsidRDefault="0027241F">
      <w:pPr>
        <w:spacing w:after="0" w:line="276" w:lineRule="auto"/>
        <w:jc w:val="both"/>
      </w:pPr>
      <w:r>
        <w:rPr>
          <w:rFonts w:ascii="Times New Roman" w:eastAsia="Times New Roman" w:hAnsi="Times New Roman" w:cs="Times New Roman"/>
          <w:sz w:val="26"/>
        </w:rPr>
        <w:t>- Trong thời gian 30 ngày làm việc kể từ khi nghiệm thu ở địa phương, Tổ chức chủ trì dự án chủ trì, phối hợp với Tổ chức hỗ trợ ứng dụng công nghệ hoàn thiện hồ sơ và gửi về Bộ Khoa học và Công nghệ trực tiếp hoặc qua đường bưu điện.</w:t>
      </w:r>
    </w:p>
    <w:p w:rsidR="00BE7DAD" w:rsidRDefault="0027241F">
      <w:pPr>
        <w:spacing w:after="0" w:line="276" w:lineRule="auto"/>
        <w:jc w:val="both"/>
      </w:pPr>
      <w:r>
        <w:rPr>
          <w:rFonts w:ascii="Times New Roman" w:eastAsia="Times New Roman" w:hAnsi="Times New Roman" w:cs="Times New Roman"/>
          <w:sz w:val="26"/>
        </w:rPr>
        <w:t>- Sau khi nhận được hồ sơ, Đơn vị quản lý kinh phí chủ trì, phối hợp với các đơn vị có liên quan tổ chức đánh giá nghiệm thu kết quả thực hiện dự án.</w:t>
      </w:r>
    </w:p>
    <w:p w:rsidR="00BE7DAD" w:rsidRDefault="0027241F">
      <w:pPr>
        <w:spacing w:after="0" w:line="276" w:lineRule="auto"/>
        <w:jc w:val="both"/>
      </w:pPr>
      <w:r>
        <w:rPr>
          <w:rFonts w:ascii="Times New Roman" w:eastAsia="Times New Roman" w:hAnsi="Times New Roman" w:cs="Times New Roman"/>
          <w:sz w:val="26"/>
        </w:rPr>
        <w:t>- Đơn vị quản lý nhiệm vụ chủ trì phối hợp với các đơn vị có liên quan trình Bộ trưởng Bộ Khoa học và Công nghệ thành lập Hội đồng khoa học và công nghệ nghiệm thu chính thức Dự án.</w:t>
      </w:r>
    </w:p>
    <w:p w:rsidR="00BE7DAD" w:rsidRDefault="0027241F">
      <w:pPr>
        <w:spacing w:after="0" w:line="276" w:lineRule="auto"/>
        <w:jc w:val="both"/>
      </w:pPr>
      <w:r>
        <w:rPr>
          <w:rFonts w:ascii="Times New Roman" w:eastAsia="Times New Roman" w:hAnsi="Times New Roman" w:cs="Times New Roman"/>
          <w:sz w:val="26"/>
        </w:rPr>
        <w:t>- Phiên họp hội đồng được tổ chức trong thời hạn 30 ngày kể từ ngày có quyết định thành lập hội đồng.</w:t>
      </w:r>
    </w:p>
    <w:p w:rsidR="00BE7DAD" w:rsidRDefault="0027241F">
      <w:pPr>
        <w:spacing w:after="0" w:line="276" w:lineRule="auto"/>
        <w:jc w:val="both"/>
      </w:pPr>
      <w:r>
        <w:rPr>
          <w:rFonts w:ascii="Times New Roman" w:eastAsia="Times New Roman" w:hAnsi="Times New Roman" w:cs="Times New Roman"/>
          <w:sz w:val="26"/>
        </w:rPr>
        <w:t>- Trong thời hạn 30 ngày kể từ ngày Hội đồng kết thúc phiên họp, Chủ nhiệm dự án và Tổ chức chủ trì dự án có trách nhiệm phối hợp với Tổ chức hỗ trợ ứng dụng công nghệ bổ sung hoàn thiện hồ sơ theo ý kiến của Hội đồng.</w:t>
      </w:r>
    </w:p>
    <w:p w:rsidR="00BE7DAD" w:rsidRDefault="0027241F">
      <w:pPr>
        <w:spacing w:after="0" w:line="276" w:lineRule="auto"/>
        <w:jc w:val="both"/>
      </w:pPr>
      <w:r>
        <w:rPr>
          <w:rFonts w:ascii="Times New Roman" w:eastAsia="Times New Roman" w:hAnsi="Times New Roman" w:cs="Times New Roman"/>
          <w:sz w:val="26"/>
        </w:rPr>
        <w:t>- Tổ chức chủ trì dự án gửi báo cáo giải trình tiếp thu ý kiến của Hội đồng và bản sao giấy chứng nhận đăng ký kết quả thực hiện dự án tới Đơn vị quản lý kinh phí.</w:t>
      </w:r>
    </w:p>
    <w:p w:rsidR="00BE7DAD" w:rsidRDefault="0027241F">
      <w:pPr>
        <w:spacing w:after="0" w:line="276" w:lineRule="auto"/>
        <w:jc w:val="both"/>
      </w:pPr>
      <w:r>
        <w:rPr>
          <w:rFonts w:ascii="Times New Roman" w:eastAsia="Times New Roman" w:hAnsi="Times New Roman" w:cs="Times New Roman"/>
          <w:sz w:val="26"/>
        </w:rPr>
        <w:t>- Trong thời hạn 10 ngày làm việc kể từ khi nhận đủ các tài liệu quy định, Bộ Khoa học và Công nghệ ban hành quyết định công nhận kết quả thực hiện Dự án.</w:t>
      </w:r>
    </w:p>
    <w:p w:rsidR="00BE7DAD" w:rsidRDefault="0027241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9"/>
        <w:gridCol w:w="902"/>
        <w:gridCol w:w="1043"/>
        <w:gridCol w:w="6607"/>
      </w:tblGrid>
      <w:tr w:rsidR="00BE7DAD">
        <w:tblPrEx>
          <w:tblCellMar>
            <w:top w:w="0" w:type="dxa"/>
            <w:bottom w:w="0" w:type="dxa"/>
          </w:tblCellMar>
        </w:tblPrEx>
        <w:tc>
          <w:tcPr>
            <w:tcW w:w="1500" w:type="dxa"/>
          </w:tcPr>
          <w:p w:rsidR="00BE7DAD" w:rsidRDefault="00BE7DAD"/>
          <w:p w:rsidR="00BE7DAD" w:rsidRDefault="0027241F">
            <w:pPr>
              <w:spacing w:after="0" w:line="276" w:lineRule="auto"/>
              <w:jc w:val="center"/>
            </w:pPr>
            <w:r>
              <w:rPr>
                <w:rFonts w:ascii="Times New Roman" w:eastAsia="Times New Roman" w:hAnsi="Times New Roman" w:cs="Times New Roman"/>
                <w:b/>
                <w:sz w:val="26"/>
              </w:rPr>
              <w:t>Hình thức nộp</w:t>
            </w:r>
          </w:p>
        </w:tc>
        <w:tc>
          <w:tcPr>
            <w:tcW w:w="2000" w:type="dxa"/>
          </w:tcPr>
          <w:p w:rsidR="00BE7DAD" w:rsidRDefault="00BE7DAD"/>
          <w:p w:rsidR="00BE7DAD" w:rsidRDefault="0027241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E7DAD" w:rsidRDefault="00BE7DAD"/>
          <w:p w:rsidR="00BE7DAD" w:rsidRDefault="0027241F">
            <w:pPr>
              <w:spacing w:after="0" w:line="276" w:lineRule="auto"/>
              <w:jc w:val="center"/>
            </w:pPr>
            <w:r>
              <w:rPr>
                <w:rFonts w:ascii="Times New Roman" w:eastAsia="Times New Roman" w:hAnsi="Times New Roman" w:cs="Times New Roman"/>
                <w:b/>
                <w:sz w:val="26"/>
              </w:rPr>
              <w:t>Phí, lệ phí</w:t>
            </w:r>
          </w:p>
        </w:tc>
        <w:tc>
          <w:tcPr>
            <w:tcW w:w="3000" w:type="dxa"/>
          </w:tcPr>
          <w:p w:rsidR="00BE7DAD" w:rsidRDefault="00BE7DAD"/>
          <w:p w:rsidR="00BE7DAD" w:rsidRDefault="0027241F">
            <w:pPr>
              <w:spacing w:after="0" w:line="276" w:lineRule="auto"/>
              <w:jc w:val="center"/>
            </w:pPr>
            <w:r>
              <w:rPr>
                <w:rFonts w:ascii="Times New Roman" w:eastAsia="Times New Roman" w:hAnsi="Times New Roman" w:cs="Times New Roman"/>
                <w:b/>
                <w:sz w:val="26"/>
              </w:rPr>
              <w:t>Mô tả</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Trực tiếp</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xml:space="preserve">40 Ngày </w:t>
            </w:r>
            <w:r>
              <w:rPr>
                <w:rFonts w:ascii="Times New Roman" w:eastAsia="Times New Roman" w:hAnsi="Times New Roman" w:cs="Times New Roman"/>
                <w:sz w:val="26"/>
              </w:rPr>
              <w:lastRenderedPageBreak/>
              <w:t>làm việc</w:t>
            </w:r>
          </w:p>
        </w:tc>
        <w:tc>
          <w:tcPr>
            <w:tcW w:w="0" w:type="auto"/>
          </w:tcPr>
          <w:p w:rsidR="00BE7DAD" w:rsidRDefault="00BE7DAD"/>
          <w:p w:rsidR="00BE7DAD" w:rsidRDefault="00BE7DAD">
            <w:pPr>
              <w:spacing w:after="0" w:line="276" w:lineRule="auto"/>
            </w:pP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xml:space="preserve">- Phiên họp hội đồng được tổ chức trong thời hạn 30 ngày kể từ ngày có quyết định thành lập hội đồng. - Trong thời hạn 10 </w:t>
            </w:r>
            <w:r>
              <w:rPr>
                <w:rFonts w:ascii="Times New Roman" w:eastAsia="Times New Roman" w:hAnsi="Times New Roman" w:cs="Times New Roman"/>
                <w:sz w:val="26"/>
              </w:rPr>
              <w:lastRenderedPageBreak/>
              <w:t>ngày làm việc kể từ khi nhận được báo cáo giải trình tiếp thu ý kiến của Hội đồng và bản sao giấy chứng nhận đăng ký kết quả thực hiện dự án, Bộ Khoa học và Công nghệ ban hành Quyết định công nhận kết quả thực hiện dự án.</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Dịch vụ bưu chính</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40 Ngày làm việc</w:t>
            </w:r>
          </w:p>
        </w:tc>
        <w:tc>
          <w:tcPr>
            <w:tcW w:w="0" w:type="auto"/>
          </w:tcPr>
          <w:p w:rsidR="00BE7DAD" w:rsidRDefault="00BE7DAD"/>
          <w:p w:rsidR="00BE7DAD" w:rsidRDefault="00BE7DAD">
            <w:pPr>
              <w:spacing w:after="0" w:line="276" w:lineRule="auto"/>
            </w:pP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Phiên họp hội đồng được tổ chức trong thời hạn 30 ngày kể từ ngày có quyết định thành lập hội đồng. - Trong thời hạn 10 ngày làm việc kể từ khi nhận được báo cáo giải trình tiếp thu ý kiến của Hội đồng và bản sao giấy chứng nhận đăng ký kết quả thực hiện dự án, Bộ Khoa học và Công nghệ ban hành Quyết định công nhận kết quả thực hiện dự án.</w:t>
            </w:r>
          </w:p>
        </w:tc>
      </w:tr>
    </w:tbl>
    <w:p w:rsidR="00BE7DAD" w:rsidRDefault="0027241F">
      <w:pPr>
        <w:spacing w:before="240" w:after="0" w:line="276" w:lineRule="auto"/>
        <w:jc w:val="both"/>
      </w:pPr>
      <w:r>
        <w:rPr>
          <w:rFonts w:ascii="Times New Roman" w:eastAsia="Times New Roman" w:hAnsi="Times New Roman" w:cs="Times New Roman"/>
          <w:b/>
          <w:sz w:val="26"/>
        </w:rPr>
        <w:t xml:space="preserve">Thành phần hồ sơ: </w:t>
      </w:r>
    </w:p>
    <w:p w:rsidR="00BE7DAD" w:rsidRDefault="0027241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28"/>
        <w:gridCol w:w="1738"/>
        <w:gridCol w:w="1045"/>
      </w:tblGrid>
      <w:tr w:rsidR="00BE7DAD">
        <w:tblPrEx>
          <w:tblCellMar>
            <w:top w:w="0" w:type="dxa"/>
            <w:bottom w:w="0" w:type="dxa"/>
          </w:tblCellMar>
        </w:tblPrEx>
        <w:tc>
          <w:tcPr>
            <w:tcW w:w="6000" w:type="dxa"/>
          </w:tcPr>
          <w:p w:rsidR="00BE7DAD" w:rsidRDefault="00BE7DAD"/>
          <w:p w:rsidR="00BE7DAD" w:rsidRDefault="0027241F">
            <w:pPr>
              <w:spacing w:after="0" w:line="276" w:lineRule="auto"/>
              <w:jc w:val="center"/>
            </w:pPr>
            <w:r>
              <w:rPr>
                <w:rFonts w:ascii="Times New Roman" w:eastAsia="Times New Roman" w:hAnsi="Times New Roman" w:cs="Times New Roman"/>
                <w:b/>
                <w:sz w:val="26"/>
              </w:rPr>
              <w:t>Tên giấy tờ</w:t>
            </w:r>
          </w:p>
        </w:tc>
        <w:tc>
          <w:tcPr>
            <w:tcW w:w="2000" w:type="dxa"/>
          </w:tcPr>
          <w:p w:rsidR="00BE7DAD" w:rsidRDefault="00BE7DAD"/>
          <w:p w:rsidR="00BE7DAD" w:rsidRDefault="0027241F">
            <w:pPr>
              <w:spacing w:after="0" w:line="276" w:lineRule="auto"/>
              <w:jc w:val="center"/>
            </w:pPr>
            <w:r>
              <w:rPr>
                <w:rFonts w:ascii="Times New Roman" w:eastAsia="Times New Roman" w:hAnsi="Times New Roman" w:cs="Times New Roman"/>
                <w:b/>
                <w:sz w:val="26"/>
              </w:rPr>
              <w:t>Mẫu đơn, tờ khai</w:t>
            </w:r>
          </w:p>
        </w:tc>
        <w:tc>
          <w:tcPr>
            <w:tcW w:w="2000" w:type="dxa"/>
          </w:tcPr>
          <w:p w:rsidR="00BE7DAD" w:rsidRDefault="00BE7DAD"/>
          <w:p w:rsidR="00BE7DAD" w:rsidRDefault="0027241F">
            <w:pPr>
              <w:spacing w:after="0" w:line="276" w:lineRule="auto"/>
              <w:jc w:val="center"/>
            </w:pPr>
            <w:r>
              <w:rPr>
                <w:rFonts w:ascii="Times New Roman" w:eastAsia="Times New Roman" w:hAnsi="Times New Roman" w:cs="Times New Roman"/>
                <w:b/>
                <w:sz w:val="26"/>
              </w:rPr>
              <w:t>Số lượng</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Báo cáo huy động và sử dụng kinh phí đối ứng từ ngân sách địa phương, nguồn khác (nếu có);</w:t>
            </w:r>
          </w:p>
        </w:tc>
        <w:tc>
          <w:tcPr>
            <w:tcW w:w="0" w:type="auto"/>
          </w:tcPr>
          <w:p w:rsidR="00BE7DAD" w:rsidRDefault="00BE7DAD"/>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Biên bản xác nhận tình hình sử dụng kinh phí của Đơn vị quản lý kinh phí;</w:t>
            </w:r>
          </w:p>
        </w:tc>
        <w:tc>
          <w:tcPr>
            <w:tcW w:w="0" w:type="auto"/>
          </w:tcPr>
          <w:p w:rsidR="00BE7DAD" w:rsidRDefault="00BE7DAD"/>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Quyết định thành lập Hội đồng nghiệm thu ở địa phương; biên bản nghiệm thu ở địa phương; báo cáo giải trình tiếp nhận góp ý của Hội đồng đánh giá nghiệm thu của tỉnh, thành phố;</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B4.10-BCGT.doc</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Biên bản quyết toán tài chính hoặc biên bản xác nhận tình hình sử dụng kinh phí của Sở Khoa học và Công nghệ (đối với dự án ủy quyền cho địa phương quản lý);</w:t>
            </w:r>
          </w:p>
        </w:tc>
        <w:tc>
          <w:tcPr>
            <w:tcW w:w="0" w:type="auto"/>
          </w:tcPr>
          <w:p w:rsidR="00BE7DAD" w:rsidRDefault="00BE7DAD"/>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 xml:space="preserve">Bản sao: </w:t>
            </w:r>
            <w:r>
              <w:rPr>
                <w:rFonts w:ascii="Times New Roman" w:eastAsia="Times New Roman" w:hAnsi="Times New Roman" w:cs="Times New Roman"/>
                <w:sz w:val="26"/>
              </w:rPr>
              <w:lastRenderedPageBreak/>
              <w:t>0</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Văn bản cam kết phối hợp của tổ chức phối hợp;</w:t>
            </w:r>
          </w:p>
        </w:tc>
        <w:tc>
          <w:tcPr>
            <w:tcW w:w="0" w:type="auto"/>
          </w:tcPr>
          <w:p w:rsidR="00BE7DAD" w:rsidRDefault="00BE7DAD"/>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Công văn đề nghị đánh giá nghiệm thu chính thức của Tổ chức chủ trì dự án;</w:t>
            </w:r>
          </w:p>
        </w:tc>
        <w:tc>
          <w:tcPr>
            <w:tcW w:w="0" w:type="auto"/>
          </w:tcPr>
          <w:p w:rsidR="00BE7DAD" w:rsidRDefault="00BE7DAD"/>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Báo cáo tổng kết thực hiện dự án theo mẫu quy định;</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B4.4-BCTK.doc</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Các quy trình kỹ thuật ứng dụng của dự án;</w:t>
            </w:r>
          </w:p>
        </w:tc>
        <w:tc>
          <w:tcPr>
            <w:tcW w:w="0" w:type="auto"/>
          </w:tcPr>
          <w:p w:rsidR="00BE7DAD" w:rsidRDefault="00BE7DAD"/>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Thuyết minh và hợp đồng thực hiện dự án;</w:t>
            </w:r>
          </w:p>
        </w:tc>
        <w:tc>
          <w:tcPr>
            <w:tcW w:w="0" w:type="auto"/>
          </w:tcPr>
          <w:p w:rsidR="00BE7DAD" w:rsidRDefault="00BE7DAD"/>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Các báo cáo và biên bản kiểm tra định kỳ theo mẫu B4.1.BCĐK và B4.2.BBKTĐK tại Phụ lục IV ban hành kèm theo Thông tư 07/2016/TT-BKHCN ngày 22/4/2016;</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B4.1-BCĐK.doc</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 Biên bản nghiệm thu mô hình;</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B4.3-BBNTMH.doc</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E7DAD" w:rsidRDefault="0027241F">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Cán bộ, công chức, viên chức, Doanh nghiệp, Tổ chức (không bao gồm doanh nghiệp, HTX), Hợp tác xã</w:t>
      </w:r>
    </w:p>
    <w:p w:rsidR="00BE7DAD" w:rsidRDefault="0027241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Quỹ Phát triển khoa học và công nghệ quốc gia</w:t>
      </w:r>
    </w:p>
    <w:p w:rsidR="00BE7DAD" w:rsidRDefault="0027241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BE7DAD" w:rsidRDefault="0027241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phận Một cửa, Quỹ Phát triển khoa học và công nghệ Quốc gia (113 Trần Duy Hưng, Phường Trung Hòa, Quận Cầu Giấy, Thành phố Hà Nội)</w:t>
      </w:r>
    </w:p>
    <w:p w:rsidR="00BE7DAD" w:rsidRDefault="0027241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E7DAD" w:rsidRDefault="0027241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E7DAD" w:rsidRDefault="0027241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công nhận kết quả thực hiện dự án</w:t>
      </w:r>
    </w:p>
    <w:p w:rsidR="00BE7DAD" w:rsidRDefault="0027241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7"/>
        <w:gridCol w:w="5813"/>
        <w:gridCol w:w="773"/>
        <w:gridCol w:w="1118"/>
      </w:tblGrid>
      <w:tr w:rsidR="00BE7DAD">
        <w:tblPrEx>
          <w:tblCellMar>
            <w:top w:w="0" w:type="dxa"/>
            <w:bottom w:w="0" w:type="dxa"/>
          </w:tblCellMar>
        </w:tblPrEx>
        <w:tc>
          <w:tcPr>
            <w:tcW w:w="2000" w:type="dxa"/>
          </w:tcPr>
          <w:p w:rsidR="00BE7DAD" w:rsidRDefault="00BE7DAD"/>
          <w:p w:rsidR="00BE7DAD" w:rsidRDefault="0027241F">
            <w:pPr>
              <w:spacing w:after="0" w:line="276" w:lineRule="auto"/>
              <w:jc w:val="center"/>
            </w:pPr>
            <w:r>
              <w:rPr>
                <w:rFonts w:ascii="Times New Roman" w:eastAsia="Times New Roman" w:hAnsi="Times New Roman" w:cs="Times New Roman"/>
                <w:b/>
                <w:sz w:val="26"/>
              </w:rPr>
              <w:t>Số ký hiệu</w:t>
            </w:r>
          </w:p>
        </w:tc>
        <w:tc>
          <w:tcPr>
            <w:tcW w:w="3500" w:type="dxa"/>
          </w:tcPr>
          <w:p w:rsidR="00BE7DAD" w:rsidRDefault="00BE7DAD"/>
          <w:p w:rsidR="00BE7DAD" w:rsidRDefault="0027241F">
            <w:pPr>
              <w:spacing w:after="0" w:line="276" w:lineRule="auto"/>
              <w:jc w:val="center"/>
            </w:pPr>
            <w:r>
              <w:rPr>
                <w:rFonts w:ascii="Times New Roman" w:eastAsia="Times New Roman" w:hAnsi="Times New Roman" w:cs="Times New Roman"/>
                <w:b/>
                <w:sz w:val="26"/>
              </w:rPr>
              <w:t>Trích yếu</w:t>
            </w:r>
          </w:p>
        </w:tc>
        <w:tc>
          <w:tcPr>
            <w:tcW w:w="1500" w:type="dxa"/>
          </w:tcPr>
          <w:p w:rsidR="00BE7DAD" w:rsidRDefault="00BE7DAD"/>
          <w:p w:rsidR="00BE7DAD" w:rsidRDefault="0027241F">
            <w:pPr>
              <w:spacing w:after="0" w:line="276" w:lineRule="auto"/>
              <w:jc w:val="center"/>
            </w:pPr>
            <w:r>
              <w:rPr>
                <w:rFonts w:ascii="Times New Roman" w:eastAsia="Times New Roman" w:hAnsi="Times New Roman" w:cs="Times New Roman"/>
                <w:b/>
                <w:sz w:val="26"/>
              </w:rPr>
              <w:t>Ngày ban hành</w:t>
            </w:r>
          </w:p>
        </w:tc>
        <w:tc>
          <w:tcPr>
            <w:tcW w:w="3000" w:type="dxa"/>
          </w:tcPr>
          <w:p w:rsidR="00BE7DAD" w:rsidRDefault="00BE7DAD"/>
          <w:p w:rsidR="00BE7DAD" w:rsidRDefault="0027241F">
            <w:pPr>
              <w:spacing w:after="0" w:line="276" w:lineRule="auto"/>
              <w:jc w:val="center"/>
            </w:pPr>
            <w:r>
              <w:rPr>
                <w:rFonts w:ascii="Times New Roman" w:eastAsia="Times New Roman" w:hAnsi="Times New Roman" w:cs="Times New Roman"/>
                <w:b/>
                <w:sz w:val="26"/>
              </w:rPr>
              <w:t>Cơ quan ban hành</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08/2014/NĐ-CP</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Nghị định quy định chi tiết và hướng dẫn thi hành một số điều của Luật khoa học và công nghệ</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27-01-2014</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Chính phủ</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29/2013/QH13</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Luật 29/2013/QH13</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18-06-2013</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Quốc Hội</w:t>
            </w:r>
          </w:p>
        </w:tc>
      </w:tr>
      <w:tr w:rsidR="00BE7DAD">
        <w:tblPrEx>
          <w:tblCellMar>
            <w:top w:w="0" w:type="dxa"/>
            <w:bottom w:w="0" w:type="dxa"/>
          </w:tblCellMar>
        </w:tblPrEx>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07/2016/TT-BKHCN</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Thông tư 07/2016/TT-BKHCN-Quy định quản lý Chương trình hỗ trợ ứng dụng, chuyển giao tiến bộ khoa học và công nghệ thúc đẩy phát triển kinh tế - xã hội nông thôn, miền núi, vùng dân tộc thiểu số giai đoạn 2016-2025</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22-04-2016</w:t>
            </w:r>
          </w:p>
        </w:tc>
        <w:tc>
          <w:tcPr>
            <w:tcW w:w="0" w:type="auto"/>
          </w:tcPr>
          <w:p w:rsidR="00BE7DAD" w:rsidRDefault="00BE7DAD"/>
          <w:p w:rsidR="00BE7DAD" w:rsidRDefault="0027241F">
            <w:pPr>
              <w:spacing w:after="0" w:line="276" w:lineRule="auto"/>
            </w:pPr>
            <w:r>
              <w:rPr>
                <w:rFonts w:ascii="Times New Roman" w:eastAsia="Times New Roman" w:hAnsi="Times New Roman" w:cs="Times New Roman"/>
                <w:sz w:val="26"/>
              </w:rPr>
              <w:t>Bộ Khoa học  và  Công nghệ</w:t>
            </w:r>
          </w:p>
        </w:tc>
      </w:tr>
    </w:tbl>
    <w:p w:rsidR="00BE7DAD" w:rsidRDefault="0027241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rsidR="00BE7DAD" w:rsidRDefault="0027241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Thủ tục đánh giá, nghiệm thu và công nhận kết quả thực hiện dự án thuộc Chương trình Nông thôn miền núi do Trung ương quản lý</w:t>
      </w:r>
    </w:p>
    <w:p w:rsidR="00BE7DAD" w:rsidRDefault="0027241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https://thutuc.dichvucong.gov.vn/p/home/dvc-tthc-thu-tuc-hanh-chinh-chi-tiet.html?ma_thu_tuc=2252</w:t>
      </w:r>
    </w:p>
    <w:sectPr w:rsidR="00BE7DA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E7DAD"/>
    <w:rsid w:val="0027241F"/>
    <w:rsid w:val="00BE7DAD"/>
    <w:rsid w:val="00D92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AEF363-D4ED-49E1-A7AC-0F003673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2025-11-27T16:40:00Z</dcterms:created>
  <dcterms:modified xsi:type="dcterms:W3CDTF">2025-11-27T16:40:00Z</dcterms:modified>
</cp:coreProperties>
</file>