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giao trực tiếp dự án thuộc Chương trình Nông thôn, miền núi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chủ trì dự án chủ trì, phối hợp với Tổ chức hỗ trợ ứng dụng công nghệ hoàn thiện hồ sơ và gửi về Bộ Khoa học và Công nghệ.</w:t>
      </w:r>
    </w:p>
    <w:p>
      <w:pPr>
        <w:spacing w:after="0" w:before="0" w:lineRule="auto" w:line="276"/>
        <w:jc w:val="both"/>
      </w:pPr>
      <w:r>
        <w:rPr>
          <w:rFonts w:ascii="Times New Roman" w:hAnsi="Times New Roman" w:cs="Times New Roman" w:eastAsia="Times New Roman"/>
          <w:b w:val="false"/>
          <w:sz w:val="26"/>
        </w:rPr>
        <w:t>- Sau khi nhận hồ sơ đăng ký xét giao trực tiếp dự án, trong thời hạn 10 ngày làm việc, Đơn vị quản lý kinh phí chủ trì phối hợp với các đơn vị có liên quan tiến hành mở, kiểm tra và xác nhận tính hợp lệ của hồ sơ.</w:t>
      </w:r>
    </w:p>
    <w:p>
      <w:pPr>
        <w:spacing w:after="0" w:before="0" w:lineRule="auto" w:line="276"/>
        <w:jc w:val="both"/>
      </w:pPr>
      <w:r>
        <w:rPr>
          <w:rFonts w:ascii="Times New Roman" w:hAnsi="Times New Roman" w:cs="Times New Roman" w:eastAsia="Times New Roman"/>
          <w:b w:val="false"/>
          <w:sz w:val="26"/>
        </w:rPr>
        <w:t>- Đơn vị quản lý nhiệm vụ chủ trì phối hợp với các đơn vị có liên quan trình Bộ trưởng Bộ Khoa học và Công nghệ thành lập Hội đồng khoa học và công nghệ xét giao trực tiếp Tổ chức chủ trì, Tổ chức hỗ trợ ứng dụng công nghệ (sau đây viết tắt là Hội đồng xét giao trực tiếp) của dự án do Trung ương quản lý và Tổ thẩm định kinh phí các dự án.</w:t>
      </w:r>
    </w:p>
    <w:p>
      <w:pPr>
        <w:spacing w:after="0" w:before="0" w:lineRule="auto" w:line="276"/>
        <w:jc w:val="both"/>
      </w:pPr>
      <w:r>
        <w:rPr>
          <w:rFonts w:ascii="Times New Roman" w:hAnsi="Times New Roman" w:cs="Times New Roman" w:eastAsia="Times New Roman"/>
          <w:b w:val="false"/>
          <w:sz w:val="26"/>
        </w:rPr>
        <w:t>- Trên cơ sở ý kiến kết luận của Hội đồng xét giao trực tiếp và kết quả làm việc của Tổ thẩm định, trong thời hạn 30 ngày Bộ trưởng Bộ Khoa học và Công nghệ ban hành Quyết định phê duyệt kinh phí dự án do Trung ương quản lý và Quyết định phê duyệt kinh phí hỗ trợ từ ngân sách Trung ương cho dự án ủy quyền cho địa phương quản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Tổ chức nộp hồ sơ tại Bộ Khoa học và Công nghệ - Trong thời hạn 10 ngày làm việc, Đơn vị quản lý kinh phí chủ trì phối hợp với các đơn vị có liên quan tiến hành mở, kiểm tra và xác nhận tính hợp lệ của hồ sơ.
- Trên cơ sở ý kiến kết luận của Hội đồng xét giao trực tiếp và kết quả làm việc của Tổ thẩm định, trong thời hạn 30 ngày Bộ trưởng Bộ Khoa học và Công nghệ ban hành Quyết định phê duyệt kinh phí dự án.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Tổ chức nộp hồ sơ tại Bộ Khoa học và Công nghệ- Trong thời hạn 10 ngày làm việc, Đơn vị quản lý kinh phí chủ trì phối hợp với các đơn vị có liên quan tiến hành mở, kiểm tra và xác nhận tính hợp lệ của hồ sơ.
- Trên cơ sở ý kiến kết luận của Hội đồng xét giao trực tiếp và kết quả làm việc của Tổ thẩm định, trong thời hạn 30 ngày Bộ trưởng Bộ Khoa học và Công nghệ ban hành Quyết định phê duyệt kinh phí dự án.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kèm theo đề xuất đặt hàng dự án;</w:t>
            </w:r>
          </w:p>
        </w:tc>
        <w:tc>
          <w:p/>
          <w:p>
            <w:pPr>
              <w:spacing w:after="0" w:before="0" w:lineRule="auto" w:line="276"/>
              <w:jc w:val="left"/>
            </w:pPr>
            <w:r>
              <w:rPr>
                <w:rFonts w:ascii="Times New Roman" w:hAnsi="Times New Roman" w:cs="Times New Roman" w:eastAsia="Times New Roman"/>
                <w:b w:val="false"/>
                <w:sz w:val="26"/>
              </w:rPr>
              <w:t>B1.5-ĐXĐHDA.doc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dự án;</w:t>
            </w:r>
          </w:p>
        </w:tc>
        <w:tc>
          <w:p/>
          <w:p>
            <w:pPr>
              <w:spacing w:after="0" w:before="0" w:lineRule="auto" w:line="276"/>
              <w:jc w:val="left"/>
            </w:pPr>
            <w:r>
              <w:rPr>
                <w:rFonts w:ascii="Times New Roman" w:hAnsi="Times New Roman" w:cs="Times New Roman" w:eastAsia="Times New Roman"/>
                <w:b w:val="false"/>
                <w:sz w:val="26"/>
              </w:rPr>
              <w:t>B1.1- TMDA.doc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Tóm tắt hoạt động khoa học của Tổ chức chủ trì;</w:t>
            </w:r>
          </w:p>
        </w:tc>
        <w:tc>
          <w:p/>
          <w:p>
            <w:pPr>
              <w:spacing w:after="0" w:before="0" w:lineRule="auto" w:line="276"/>
              <w:jc w:val="left"/>
            </w:pPr>
            <w:r>
              <w:rPr>
                <w:rFonts w:ascii="Times New Roman" w:hAnsi="Times New Roman" w:cs="Times New Roman" w:eastAsia="Times New Roman"/>
                <w:b w:val="false"/>
                <w:sz w:val="26"/>
              </w:rPr>
              <w:t>B1.2-HĐTCCT.doc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khoa học của Chủ nhiệm dự án;</w:t>
            </w:r>
          </w:p>
        </w:tc>
        <w:tc>
          <w:p/>
          <w:p>
            <w:pPr>
              <w:spacing w:after="0" w:before="0" w:lineRule="auto" w:line="276"/>
              <w:jc w:val="left"/>
            </w:pPr>
            <w:r>
              <w:rPr>
                <w:rFonts w:ascii="Times New Roman" w:hAnsi="Times New Roman" w:cs="Times New Roman" w:eastAsia="Times New Roman"/>
                <w:b w:val="false"/>
                <w:sz w:val="26"/>
              </w:rPr>
              <w:t>B1.3-LLKHCN.doc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Tóm tắt hoạt động của Tổ chức hỗ trợ ứng dụng công nghệ;</w:t>
            </w:r>
          </w:p>
        </w:tc>
        <w:tc>
          <w:p/>
          <w:p>
            <w:pPr>
              <w:spacing w:after="0" w:before="0" w:lineRule="auto" w:line="276"/>
              <w:jc w:val="left"/>
            </w:pPr>
            <w:r>
              <w:rPr>
                <w:rFonts w:ascii="Times New Roman" w:hAnsi="Times New Roman" w:cs="Times New Roman" w:eastAsia="Times New Roman"/>
                <w:b w:val="false"/>
                <w:sz w:val="26"/>
              </w:rPr>
              <w:t>B1.4-HĐTCHTCN.doc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xuất xứ công nghệ theo quy định tại khoản 4 Điều 6 của Thông tư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Hội đồng tư vấn của tỉnh, thành phố và Biên bản họp Hội đồng; hoặc ý kiến của các chuyên gia tư vấn độc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phê duyệt danh mục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Cam kết đối ứng và giải trình khả năng huy động tài chính (báo cáo tài chính của Tổ chức đăng ký chủ trì dự án trong 02 năm gần nhất tính từ thời điểm nộp hồ sơ đăng ký thực hiện dự án; cam kết cho vay vốn hoặc bảo lãnh vay vốn của các tổ chức tín dụng; cam kết pháp lý và giấy tờ xác nhận về việc đóng góp vốn của Tổ chức chủ trì và/hoặc các tổ chức tham gia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cam kết phối hợp của tổ chức phối hợp.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kinh phí dự án do Trung ương quản lý và Quyết định phê duyệt kinh phí hỗ trợ từ ngân sách Trung ương cho dự án ủy quyền cho địa phương quản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07/2016/TT-BKHCN</w:t>
            </w:r>
          </w:p>
        </w:tc>
        <w:tc>
          <w:p/>
          <w:p>
            <w:pPr>
              <w:spacing w:after="0" w:before="0" w:lineRule="auto" w:line="276"/>
              <w:jc w:val="left"/>
            </w:pPr>
            <w:r>
              <w:rPr>
                <w:rFonts w:ascii="Times New Roman" w:hAnsi="Times New Roman" w:cs="Times New Roman" w:eastAsia="Times New Roman"/>
                <w:b w:val="false"/>
                <w:sz w:val="26"/>
              </w:rPr>
              <w:t>Thông tư 07/2016/TT-BKHCN-Quy định quản lý Chương trình hỗ trợ ứng dụng, chuyển giao tiến bộ khoa học và công nghệ thúc đẩy phát triển kinh tế - xã hội nông thôn, miền núi, vùng dân tộc thiểu số giai đoạn 2016-2025</w:t>
            </w:r>
          </w:p>
        </w:tc>
        <w:tc>
          <w:p/>
          <w:p>
            <w:pPr>
              <w:spacing w:after="0" w:before="0" w:lineRule="auto" w:line="276"/>
              <w:jc w:val="left"/>
            </w:pPr>
            <w:r>
              <w:rPr>
                <w:rFonts w:ascii="Times New Roman" w:hAnsi="Times New Roman" w:cs="Times New Roman" w:eastAsia="Times New Roman"/>
                <w:b w:val="false"/>
                <w:sz w:val="26"/>
              </w:rPr>
              <w:t>22-04-2016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xét giao trực tiếp dự án thuộc Chương trình Nông thôn miền núi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2025-11-27T16:39:43Z</dcterms:created>
  <dc:creator>Apache POI</dc:creator>
</cp:coreProperties>
</file>