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1.001564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xuất dự án thuộc Chương trình Nông thôn miền núi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khoa học và công nghệ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khoa học và công nghệ tại địa phương gửi hồ sơ đề xuất dự án về Sở Khoa học và Công nghệ để tổng hợp.</w:t>
      </w:r>
    </w:p>
    <w:p>
      <w:pPr>
        <w:spacing w:after="0" w:before="0" w:lineRule="auto" w:line="276"/>
        <w:jc w:val="both"/>
      </w:pPr>
      <w:r>
        <w:rPr>
          <w:rFonts w:ascii="Times New Roman" w:hAnsi="Times New Roman" w:cs="Times New Roman" w:eastAsia="Times New Roman"/>
          <w:b w:val="false"/>
          <w:sz w:val="26"/>
        </w:rPr>
        <w:t>- Sở Khoa học và Công nghệ tổ chức lấy ý kiến tư vấn thông qua hội đồng tư vấn hoặc ý kiến của ít nhất 02 chuyên gia tư vấn độc lập để xem xét, trình Ủy ban nhân dân tỉnh, thành phố 
- UBND tỉnh, thành phố gửi Công văn đề xuất đặt hàng thuộc Chương trình về Đơn vị quản lý kinh phí thuộc Bộ Khoa học và Công nghệ.</w:t>
      </w:r>
    </w:p>
    <w:p>
      <w:pPr>
        <w:spacing w:after="0" w:before="0" w:lineRule="auto" w:line="276"/>
        <w:jc w:val="both"/>
      </w:pPr>
      <w:r>
        <w:rPr>
          <w:rFonts w:ascii="Times New Roman" w:hAnsi="Times New Roman" w:cs="Times New Roman" w:eastAsia="Times New Roman"/>
          <w:b w:val="false"/>
          <w:sz w:val="26"/>
        </w:rPr>
        <w:t>- Đơn vị quản lý nhiệm vụ chủ trì, phối hợp với đơn vị có liên quan tổ chức rà soát danh mục các dự án đề xuất thuộc Chương trình về mức độ đầy đủ thông tin, hồ sơ theo yêu cầu và sự cần thiết của dự án. Đơn vị quản lý nhiệm vụ chủ trì báo cáo kết quả rà soát với Bộ trưởng Bộ Khoa học và Công nghệ để xem xét quyết định Danh mục sơ bộ dự án đưa ra Hội đồng tư vấn xác định nhiệm vụ.</w:t>
      </w:r>
    </w:p>
    <w:p>
      <w:pPr>
        <w:spacing w:after="0" w:before="0" w:lineRule="auto" w:line="276"/>
        <w:jc w:val="both"/>
      </w:pPr>
      <w:r>
        <w:rPr>
          <w:rFonts w:ascii="Times New Roman" w:hAnsi="Times New Roman" w:cs="Times New Roman" w:eastAsia="Times New Roman"/>
          <w:b w:val="false"/>
          <w:sz w:val="26"/>
        </w:rPr>
        <w:t>- Đơn vị quản lý nhiệm vụ chủ trì trình Bộ trưởng Bộ Khoa học và Công nghệ thành lập Hội đồng tư vấn xác định nhiệm vụ các dự án theo lĩnh vực chuyên ngành, xem xét: Tính cấp thiết và sự phù hợp của dự án với Chương trình; tính liên vùng và tầm quan trọng của dự án đề xuất để phân nhóm dự án và xác định thứ tự ưu tiên; xác định tên, mục tiêu và nội dung chủ yếu, dự kiến sản phẩm chính; phân tích tính hợp lý của công nghệ ứng dụng, chuyển giao; xem xét, xác định Tổ chức chủ trì, Tổ chức hỗ trợ ứng dụng công nghệ.</w:t>
      </w:r>
    </w:p>
    <w:p>
      <w:pPr>
        <w:spacing w:after="0" w:before="0" w:lineRule="auto" w:line="276"/>
        <w:jc w:val="both"/>
      </w:pPr>
      <w:r>
        <w:rPr>
          <w:rFonts w:ascii="Times New Roman" w:hAnsi="Times New Roman" w:cs="Times New Roman" w:eastAsia="Times New Roman"/>
          <w:b w:val="false"/>
          <w:sz w:val="26"/>
        </w:rPr>
        <w:t>- Bộ trưởng Bộ Khoa học và Công nghệ phê duyệt danh mục đặt hàng giao trực tiếp cho Tổ chức chủ trì, Tổ chức hỗ trợ ứng dụng công nghệ.</w:t>
      </w:r>
    </w:p>
    <w:p>
      <w:pPr>
        <w:spacing w:after="0" w:before="0" w:lineRule="auto" w:line="276"/>
        <w:jc w:val="both"/>
      </w:pPr>
      <w:r>
        <w:rPr>
          <w:rFonts w:ascii="Times New Roman" w:hAnsi="Times New Roman" w:cs="Times New Roman" w:eastAsia="Times New Roman"/>
          <w:b w:val="false"/>
          <w:sz w:val="26"/>
        </w:rPr>
        <w:t>- Trong thời hạn 05 ngày làm việc kể từ khi có Quyết định phê duyệt, Bộ Khoa học và Công nghệ thông báo cho Tổ chức chủ trì để hoàn thiện hồ sơ trình Bộ Khoa học và Công nghệ và Sở Khoa học và Công nghệ (đối với dự án ủy quyền cho địa phương quản lý) để xét giao trực tiếp.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Tổ chức đề xuất chủ trì nộp hồ sơ tại Sở Khoa học và Công nghệ. 
- Sở Khoa học và Công nghệ trình UBND tỉnh/thành phố
- UBND tỉnh/thành phố gửi Công văn đề xuất và hồ sơ về Đơn vị quản lý kinh phí thuộc Bộ Khoa học và Công nghệ.
- Bộ KH&amp;CN xem xét, lựa chọn và phê duyệt Quyết định phê duyệt danh mục đặt hàng giao trực tiếp
Trong thời hạn 05 ngày làm việc kể từ khi có Quyết định phê duyệt danh mục đặt hàng giao trực tiếp, Bộ Khoa học và Công nghệ thông báo cho Tổ chức chủ trì để hoàn thiện hồ sơ trình Bộ Khoa học và Công nghệ hoặc Sở Khoa học và Công nghệ (đối với dự án ủy quyền cho địa phương quản lý) để xét giao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Tổ chức đề xuất chủ trì nộp hồ sơ tại Sở Khoa học và Công nghệ.
- Sở Khoa học và Công nghệ trình UBND tỉnh/thành phố
- UBND tỉnh/thành phố gửi Công văn đề xuất và hồ sơ về Đơn vị quản lý kinh phí thuộc Bộ Khoa học và Công nghệ.
- Bộ KH&amp;CN xem xét, lựa chọn và phê duyệt Quyết định phê duyệt danh mục đặt hàng giao trực tiếp
Trong thời hạn 05 ngày làm việc kể từ khi có Quyết định phê duyệt danh mục đặt hàng giao trực tiếp, Bộ Khoa học và Công nghệ thông báo cho Tổ chức chủ trì để hoàn thiện hồ sơ trình Bộ Khoa học và Công nghệ hoặc Sở Khoa học và Công nghệ (đối với dự án ủy quyền cho địa phương quản lý) để xét giao trực tiếp.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Công văn kèm theo đề xuất đặt hàng dự án;</w:t>
            </w:r>
          </w:p>
        </w:tc>
        <w:tc>
          <w:p/>
          <w:p>
            <w:pPr>
              <w:spacing w:after="0" w:before="0" w:lineRule="auto" w:line="276"/>
              <w:jc w:val="left"/>
            </w:pPr>
            <w:r>
              <w:rPr>
                <w:rFonts w:ascii="Times New Roman" w:hAnsi="Times New Roman" w:cs="Times New Roman" w:eastAsia="Times New Roman"/>
                <w:b w:val="false"/>
                <w:sz w:val="26"/>
              </w:rPr>
              <w:t>B1.5-ĐXĐHDA.doc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Thuyết minh dự án;</w:t>
            </w:r>
          </w:p>
        </w:tc>
        <w:tc>
          <w:p/>
          <w:p>
            <w:pPr>
              <w:spacing w:after="0" w:before="0" w:lineRule="auto" w:line="276"/>
              <w:jc w:val="left"/>
            </w:pPr>
            <w:r>
              <w:rPr>
                <w:rFonts w:ascii="Times New Roman" w:hAnsi="Times New Roman" w:cs="Times New Roman" w:eastAsia="Times New Roman"/>
                <w:b w:val="false"/>
                <w:sz w:val="26"/>
              </w:rPr>
              <w:t>B1.1- TMDA.doc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Tóm tắt hoạt động khoa học của Tổ chức chủ trì;</w:t>
            </w:r>
          </w:p>
        </w:tc>
        <w:tc>
          <w:p/>
          <w:p>
            <w:pPr>
              <w:spacing w:after="0" w:before="0" w:lineRule="auto" w:line="276"/>
              <w:jc w:val="left"/>
            </w:pPr>
            <w:r>
              <w:rPr>
                <w:rFonts w:ascii="Times New Roman" w:hAnsi="Times New Roman" w:cs="Times New Roman" w:eastAsia="Times New Roman"/>
                <w:b w:val="false"/>
                <w:sz w:val="26"/>
              </w:rPr>
              <w:t>B1.2-HĐTCCT.doc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Lý lịch khoa học của Chủ nhiệm dự án;</w:t>
            </w:r>
          </w:p>
        </w:tc>
        <w:tc>
          <w:p/>
          <w:p>
            <w:pPr>
              <w:spacing w:after="0" w:before="0" w:lineRule="auto" w:line="276"/>
              <w:jc w:val="left"/>
            </w:pPr>
            <w:r>
              <w:rPr>
                <w:rFonts w:ascii="Times New Roman" w:hAnsi="Times New Roman" w:cs="Times New Roman" w:eastAsia="Times New Roman"/>
                <w:b w:val="false"/>
                <w:sz w:val="26"/>
              </w:rPr>
              <w:t>B1.3-LLKHCN.doc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Tóm tắt hoạt động của Tổ chức hỗ trợ ứng dụng công nghệ;</w:t>
            </w:r>
          </w:p>
        </w:tc>
        <w:tc>
          <w:p/>
          <w:p>
            <w:pPr>
              <w:spacing w:after="0" w:before="0" w:lineRule="auto" w:line="276"/>
              <w:jc w:val="left"/>
            </w:pPr>
            <w:r>
              <w:rPr>
                <w:rFonts w:ascii="Times New Roman" w:hAnsi="Times New Roman" w:cs="Times New Roman" w:eastAsia="Times New Roman"/>
                <w:b w:val="false"/>
                <w:sz w:val="26"/>
              </w:rPr>
              <w:t>B1.4-HĐTCHTCN.doc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chứng minh xuất xứ công nghệ.</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Quyết định thành lập Hội đồng tư vấn của tỉnh, thành phố và Biên bản họp Hội đồng; hoặc ý kiến của các chuyên gia tư vấn.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Cán bộ, công chức, viên chức, Doanh nghiệp,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Quỹ Phát triển khoa học và công nghệ quốc gia</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Khoa học  và  Công nghệ</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Quỹ Phát triển khoa học và công nghệ Quốc gia (113 Trần Duy Hưng, Phường Trung Hòa, Quận Cầu Giấy, Thành phố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danh mục đặt hàng giao trực tiếp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08/2014/NĐ-CP</w:t>
            </w:r>
          </w:p>
        </w:tc>
        <w:tc>
          <w:p/>
          <w:p>
            <w:pPr>
              <w:spacing w:after="0" w:before="0" w:lineRule="auto" w:line="276"/>
              <w:jc w:val="left"/>
            </w:pPr>
            <w:r>
              <w:rPr>
                <w:rFonts w:ascii="Times New Roman" w:hAnsi="Times New Roman" w:cs="Times New Roman" w:eastAsia="Times New Roman"/>
                <w:b w:val="false"/>
                <w:sz w:val="26"/>
              </w:rPr>
              <w:t>Nghị định quy định chi tiết và hướng dẫn thi hành một số điều của Luật khoa học và công nghệ</w:t>
            </w:r>
          </w:p>
        </w:tc>
        <w:tc>
          <w:p/>
          <w:p>
            <w:pPr>
              <w:spacing w:after="0" w:before="0" w:lineRule="auto" w:line="276"/>
              <w:jc w:val="left"/>
            </w:pPr>
            <w:r>
              <w:rPr>
                <w:rFonts w:ascii="Times New Roman" w:hAnsi="Times New Roman" w:cs="Times New Roman" w:eastAsia="Times New Roman"/>
                <w:b w:val="false"/>
                <w:sz w:val="26"/>
              </w:rPr>
              <w:t>27-01-2014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29/2013/QH13</w:t>
            </w:r>
          </w:p>
        </w:tc>
        <w:tc>
          <w:p/>
          <w:p>
            <w:pPr>
              <w:spacing w:after="0" w:before="0" w:lineRule="auto" w:line="276"/>
              <w:jc w:val="left"/>
            </w:pPr>
            <w:r>
              <w:rPr>
                <w:rFonts w:ascii="Times New Roman" w:hAnsi="Times New Roman" w:cs="Times New Roman" w:eastAsia="Times New Roman"/>
                <w:b w:val="false"/>
                <w:sz w:val="26"/>
              </w:rPr>
              <w:t>Luật 29/2013/QH13</w:t>
            </w:r>
          </w:p>
        </w:tc>
        <w:tc>
          <w:p/>
          <w:p>
            <w:pPr>
              <w:spacing w:after="0" w:before="0" w:lineRule="auto" w:line="276"/>
              <w:jc w:val="left"/>
            </w:pPr>
            <w:r>
              <w:rPr>
                <w:rFonts w:ascii="Times New Roman" w:hAnsi="Times New Roman" w:cs="Times New Roman" w:eastAsia="Times New Roman"/>
                <w:b w:val="false"/>
                <w:sz w:val="26"/>
              </w:rPr>
              <w:t>18-06-2013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07/2016/TT-BKHCN</w:t>
            </w:r>
          </w:p>
        </w:tc>
        <w:tc>
          <w:p/>
          <w:p>
            <w:pPr>
              <w:spacing w:after="0" w:before="0" w:lineRule="auto" w:line="276"/>
              <w:jc w:val="left"/>
            </w:pPr>
            <w:r>
              <w:rPr>
                <w:rFonts w:ascii="Times New Roman" w:hAnsi="Times New Roman" w:cs="Times New Roman" w:eastAsia="Times New Roman"/>
                <w:b w:val="false"/>
                <w:sz w:val="26"/>
              </w:rPr>
              <w:t>Thông tư 07/2016/TT-BKHCN-Quy định quản lý Chương trình hỗ trợ ứng dụng, chuyển giao tiến bộ khoa học và công nghệ thúc đẩy phát triển kinh tế - xã hội nông thôn, miền núi, vùng dân tộc thiểu số giai đoạn 2016-2025</w:t>
            </w:r>
          </w:p>
        </w:tc>
        <w:tc>
          <w:p/>
          <w:p>
            <w:pPr>
              <w:spacing w:after="0" w:before="0" w:lineRule="auto" w:line="276"/>
              <w:jc w:val="left"/>
            </w:pPr>
            <w:r>
              <w:rPr>
                <w:rFonts w:ascii="Times New Roman" w:hAnsi="Times New Roman" w:cs="Times New Roman" w:eastAsia="Times New Roman"/>
                <w:b w:val="false"/>
                <w:sz w:val="26"/>
              </w:rPr>
              <w:t>22-04-2016</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Là tổ chức được thành lập và hoạt động theo quy định của pháp luật;
- Có cơ sở vật chất kỹ thuật đảm bảo thực hiện dự án; có năng lực huy động nguồn kinh phí ngoài ngân sách và các nguồn lực khác thực hiện dự án;
- Trực tiếp thực hiện dự án, tiếp thu và thụ hưởng kết quả của dự án;
- Có năng lực tổ chức liên kết sản xuất theo chuỗi giá trị hàng hóa hoặc tổ chức sản xuất hàng hóa tạo sinh kế cho người dân tại vùng khó khăn, vùng dân tộc thiểu số;
- Có trụ sở tại tỉnh, thành phố triển khai dự án trừ trường hợp đặc thù được Bộ Khoa học và Công nghệ xem xét, chấp thuận;
- Không thuộc trường hợp sau:
+  Đến thời điểm nộp hồ sơ chưa hoàn trả đầy đủ kinh phí thu hồi theo hợp đồng thực hiện các dự án trước đây;
+  Nộp hồ sơ đánh giá nghiệm thu các nhiệm vụ khoa học và công nghệ cấp quốc gia khác chậm so với thời hạn kết thúc hợp đồng nghiên cứu trên 30 ngày mà không có ý kiến chấp thuận của Bộ trưởng Bộ chủ trì nhiệm vụ sẽ không được tham gia tuyển chọn, xét giao trực tiếp trong thời hạn một (01) năm kể từ ngày kết thúc hợp đồng; 
+ Tổ chức chủ trì nhiệm vụ khoa học và công nghệ có sai phạm dẫn đến bị đình chỉ thực hiện nhiệm vụ hoặc sau khi kết thúc mà không triển khai ứng dụng kết quả nghiên cứu khoa học và phát triển công nghệ vào sản xuất, đời sống theo hợp đồng nghiên cứu khoa học và phát triển công nghệ và yêu cầu của bên đặt hàng, không được đăng ký tham gia đăng ký tuyển chọn, giao trực tiếp trong thời gian ba (03) năm, tính từ thời điểm có kết luận của cơ quan có thẩm quyền.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Thủ tục đề xuất dự án thuộc Chương trình Nông thôn, miền núi</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https://thutuc.dichvucong.gov.vn/p/home/dvc-tthc-thu-tuc-hanh-chinh-chi-tiet.html?ma_thu_tuc=2276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2025-11-27T16:39:47Z</dcterms:created>
  <dc:creator>Apache POI</dc:creator>
</cp:coreProperties>
</file>