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tạm ngừng giao dịch từ 05 ngày làm việc trở lên, trừ trường hợp tạm ngừng giao dịch do sự kiện bất khả kháng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Tối thiểu 60 ngày trước ngày dự kiến tạm ngừng giao dịch, Quỹ tín dụng nhân dân lập hồ sơ theo quy định và gửi Ngân hàng Nhà nước Khu vực nơi Quỹ tín dụng nhân dân đặt trụ sở chính. 
- Bước 2: Trường hợp hồ sơ chưa đầy đủ, trong thời hạn 03 ngày làm việc kể từ ngày nhận được hồ sơ, Ngân hàng Nhà nước Khu vực có văn bản yêu cầu Quỹ tín dụng nhân dân bổ sung hồ sơ.
- Bước 3: Trong thời hạn 15 ngày kể từ ngày nhận đủ hồ sơ hợp lệ, Ngân hàng Nhà nước Khu vực xem xét, chấp thuận đề nghị tạm ngừng giao dịch của Quỹ tín dụng nhân dân.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Quỹ tín dụng nhân dân đề nghị chấp thuận tạm ngừng giao dịch theo mẫu tại Phụ lục số 08 ban hành kèm theo Thông tư số 28/TT-NHNN</w:t>
            </w:r>
          </w:p>
        </w:tc>
        <w:tc>
          <w:p/>
          <w:p>
            <w:pPr>
              <w:spacing w:after="0" w:before="0" w:lineRule="auto" w:line="276"/>
              <w:jc w:val="left"/>
            </w:pPr>
            <w:r>
              <w:rPr>
                <w:rFonts w:ascii="Times New Roman" w:hAnsi="Times New Roman" w:cs="Times New Roman" w:eastAsia="Times New Roman"/>
                <w:b w:val="false"/>
                <w:sz w:val="26"/>
              </w:rPr>
              <w:t>Phlcs08.docx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về việc tạm ngừng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xử lý các rủi ro phát sinh do việc tạm ngừng giao dịch, trong đó bao gồm các giải pháp dự kiến thực hiện để giảm thiểu tối đa ảnh hưởng của việc tạm ngừng giao dịch đến quyền và lợi ích của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tạm ngừng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2025-11-27T16:39:46Z</dcterms:created>
  <dc:creator>Apache POI</dc:creator>
</cp:coreProperties>
</file>