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thời gian lưu hành tại Việt Nam cho phương tiện của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Tổ chức, cá nhân nộp hồ sơ cho Sở Xây dựng các tỉnh, thành phố trực thuộc trung ương nơi phương tiện gặp sự cố bất khả kháng.</w:t>
      </w:r>
    </w:p>
    <w:p>
      <w:pPr>
        <w:spacing w:after="0" w:before="0" w:lineRule="auto" w:line="276"/>
        <w:jc w:val="both"/>
      </w:pPr>
      <w:r>
        <w:rPr>
          <w:rFonts w:ascii="Times New Roman" w:hAnsi="Times New Roman" w:cs="Times New Roman" w:eastAsia="Times New Roman"/>
          <w:b w:val="false"/>
          <w:sz w:val="26"/>
        </w:rPr>
        <w:t>b) Giải quyết TTHC:
- Trong thời hạn 02 ngày làm việc kể từ khi nhận đủ hồ sơ hợp lệ theo quy định, Sở Xây dựng thực hiện gia hạn thời gian lưu hành cho phương tiện của Campuchia. Sở Xây dựng thực hiện việc gia hạn bằng văn bản hoặc gia hạn trong giấy phép liên vận. Trường hợp không gia hạn, Sở Xây dựng trả lời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khi nhận đủ hồ sơ hợp lệ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phép liên vận giữa Việt Nam và Campuchia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gia hạn thời gian lưu hành của phương tiện tại Việt Nam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thời gian lưu hành của phương tiện tại Việt Nam cho phương tiện của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158/2024/NĐ-CP</w:t>
            </w:r>
          </w:p>
        </w:tc>
        <w:tc>
          <w:p/>
          <w:p>
            <w:pPr>
              <w:spacing w:after="0" w:before="0" w:lineRule="auto" w:line="276"/>
              <w:jc w:val="left"/>
            </w:pPr>
            <w:r>
              <w:rPr>
                <w:rFonts w:ascii="Times New Roman" w:hAnsi="Times New Roman" w:cs="Times New Roman" w:eastAsia="Times New Roman"/>
                <w:b w:val="false"/>
                <w:sz w:val="26"/>
              </w:rPr>
              <w:t>Quy định về hoạt động vận tải đường bộ</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Phương tiện của Campuchia quá thời gian lưu hành tại Việt Nam quy định tại giấy phép liên vận trong trường hợp bất khả kháng thì được gia hạn và mỗi lần gia hạn không quá 10 ngày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2025-11-27T16:40:02Z</dcterms:created>
  <dc:creator>Apache POI</dc:creator>
</cp:coreProperties>
</file>