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559/QĐ-BNNMT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Bên thứ ba (TPE) (TTHC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Biến đổi khí hậu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cá nhân gửi hồ sơ đề nghị công nhận Bên thứ ba (TPE) qua thư điện tử bằng tiếng Việt và tiếng Anh.</w:t>
      </w:r>
    </w:p>
    <w:p>
      <w:pPr>
        <w:spacing w:after="0" w:before="0" w:lineRule="auto" w:line="276"/>
        <w:jc w:val="both"/>
      </w:pPr>
      <w:r>
        <w:rPr>
          <w:rFonts w:ascii="Times New Roman" w:hAnsi="Times New Roman" w:cs="Times New Roman" w:eastAsia="Times New Roman"/>
          <w:b w:val="false"/>
          <w:sz w:val="26"/>
        </w:rPr>
        <w:t>Tổ thư ký tiếp nhận và kiểm tra tính đầy đủ, hợp lệ của hồ sơ. Trường hợp hồ sơ chưa đầy đủ theo quy định, Tổ thư ký gửi thông báo một (01) lần duy nhất để tổ chức, cá nhân biết để bổ sung hoàn thiện hồ sơ; đối với hồ sơ đầy đủ theo quy định, Tổ thư ký trình Ủy ban Hỗn hợp xem xét và quyết định.</w:t>
      </w:r>
    </w:p>
    <w:p>
      <w:pPr>
        <w:spacing w:after="0" w:before="0" w:lineRule="auto" w:line="276"/>
        <w:jc w:val="both"/>
      </w:pPr>
      <w:r>
        <w:rPr>
          <w:rFonts w:ascii="Times New Roman" w:hAnsi="Times New Roman" w:cs="Times New Roman" w:eastAsia="Times New Roman"/>
          <w:b w:val="false"/>
          <w:sz w:val="26"/>
        </w:rPr>
        <w:t>Sau khi nhận được hồ sơ từ Tổ thư ký, Ủy ban Hỗn hợp xem xét, thẩm định và ra quyết định công nhận hoặc không công nhận TPE. Trong trường hợp không công nhận, Ủy ban Hỗn hợp công bố lý do.</w:t>
      </w:r>
    </w:p>
    <w:p>
      <w:pPr>
        <w:spacing w:after="0" w:before="0" w:lineRule="auto" w:line="276"/>
        <w:jc w:val="both"/>
      </w:pPr>
      <w:r>
        <w:rPr>
          <w:rFonts w:ascii="Times New Roman" w:hAnsi="Times New Roman" w:cs="Times New Roman" w:eastAsia="Times New Roman"/>
          <w:b w:val="false"/>
          <w:sz w:val="26"/>
        </w:rPr>
        <w:t xml:space="preserve"> Tổ thư ký thông báo qua thư điện tử đến tổ chức quyết định của Ủy ban Hỗn hợp công nhận hoặc không công nhận TPE kèm theo lý do. Quyết định công nhận và các thông tin về TPE được Tổ thư ký đăng tải trên trang điện tử của JCM.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kiểm tra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công nhận TPE bằng tiếng Anh và tiếng Việt (theo mẫu quy định tại Phụ lục 1 và 1ª ban hành kèm theo Thông tư số 17/2015/TT-BTNMT ngày 06 tháng 4 năm 2015 của Bộ Tài nguyên và Môi trường 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Mẫu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công nhận TPE bằng tiếng Anh và tiếng Việt (theo mẫu quy định tại Phụ lục 1 và 1ª ban hành kèm theo Thông tư số 17/2015/TT-BTNMT ngày 06 tháng 4 năm 2015 của Bộ Tài nguyên và Môi trường 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Mẫu 2.docx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Chứng nhận tiêu chuẩn ISO 14.065 do IAF cấp theo tiêu chuẩn ISO 14.064-2; hoặc chứng nhận là tổ chức nghiệp vụ của Cơ chế CDM.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hỗ trợ của cơ chế JCM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hỗ trợ của cơ chế JCM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Thư điện tử của Tổ thư ký thông báo quyết định của Ủy ban Hỗn hợp công nhận hoặc không công nhận TPE kèm theo lý do và thông tin về TPE đăng tải trên trang điện tử của Cơ chế JCM.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17/2015/TT-BTNMT</w:t>
            </w:r>
          </w:p>
        </w:tc>
        <w:tc>
          <w:p/>
          <w:p>
            <w:pPr>
              <w:spacing w:after="0" w:before="0" w:lineRule="auto" w:line="276"/>
              <w:jc w:val="left"/>
            </w:pPr>
            <w:r>
              <w:rPr>
                <w:rFonts w:ascii="Times New Roman" w:hAnsi="Times New Roman" w:cs="Times New Roman" w:eastAsia="Times New Roman"/>
                <w:b w:val="false"/>
                <w:sz w:val="26"/>
              </w:rPr>
              <w:t>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06-04-2015</w:t>
            </w:r>
          </w:p>
        </w:tc>
        <w:tc>
          <w:p/>
          <w:p>
            <w:pPr>
              <w:spacing w:after="0" w:before="0" w:lineRule="auto" w:line="276"/>
              <w:jc w:val="left"/>
            </w:pPr>
            <w:r>
              <w:rPr>
                <w:rFonts w:ascii="Times New Roman" w:hAnsi="Times New Roman" w:cs="Times New Roman" w:eastAsia="Times New Roman"/>
                <w:b w:val="false"/>
                <w:sz w:val="26"/>
              </w:rPr>
              <w:t>Bộ Tài nguyên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2025-11-27T16:40:12Z</dcterms:created>
  <dc:creator>Apache POI</dc:creator>
</cp:coreProperties>
</file>