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1061/QĐ-BNG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Chứng thực chữ ký trong các giấy tờ, văn bản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chứng, chứng thực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Nộp hồ sơ tại trụ sở Cơ quan đại diện ngoại giao, cơ quan lãnh sự hoặc cơ quan khác được ủy quyền thực hiện chức năng lãnh sự của Việt Nam ở nước ngoài (Cơ quan đại diện).</w:t>
      </w:r>
    </w:p>
    <w:p>
      <w:pPr>
        <w:spacing w:after="0" w:before="0" w:lineRule="auto" w:line="276"/>
        <w:jc w:val="both"/>
      </w:pPr>
      <w:r>
        <w:rPr>
          <w:rFonts w:ascii="Times New Roman" w:hAnsi="Times New Roman" w:cs="Times New Roman" w:eastAsia="Times New Roman"/>
          <w:b w:val="false"/>
          <w:sz w:val="26"/>
        </w:rPr>
        <w:t>Cơ quan đại diện thực kiểm tra giấy tờ yêu cầu chứng thực, nếu thấy đủ giấy tờ theo quy định, tại thời điểm chứng thực, người yêu cầu chứng thực minh mẫn, nhận thức và làm chủ được hành vi của mình và việc chứng thực không thuộc các trường hợp không được chứng thực thì yêu cầu người yêu cầu chứng thực ký trước mặt và thực hiện chứng thực.</w:t>
      </w:r>
    </w:p>
    <w:p>
      <w:pPr>
        <w:spacing w:after="0" w:before="0" w:lineRule="auto" w:line="276"/>
        <w:jc w:val="both"/>
      </w:pPr>
      <w:r>
        <w:rPr>
          <w:rFonts w:ascii="Times New Roman" w:hAnsi="Times New Roman" w:cs="Times New Roman" w:eastAsia="Times New Roman"/>
          <w:b w:val="false"/>
          <w:sz w:val="26"/>
        </w:rPr>
        <w:t>Nhận kết quả trực tiếp tại trụ sở cơ quan theo phiếu hẹn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thực hiện yêu cầu chứng thực phải được bảo đảm ngay trong ngày cơ quan, tổ chức tiếp nhận yêu cầu hoặc trong ngày làm việc tiếp theo, nếu tiếp nhận yêu cầu sau 15 giờ.</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chính hoặc bản sao có chứng thực Giấy chứng minh nhân dân hoặc Hộ chiếu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tờ, văn bản mà mình sẽ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Lời chứng chứng thực chữ ký</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23/2015/NĐ-CP</w:t>
            </w:r>
          </w:p>
        </w:tc>
        <w:tc>
          <w:p/>
          <w:p>
            <w:pPr>
              <w:spacing w:after="0" w:before="0" w:lineRule="auto" w:line="276"/>
              <w:jc w:val="left"/>
            </w:pPr>
            <w:r>
              <w:rPr>
                <w:rFonts w:ascii="Times New Roman" w:hAnsi="Times New Roman" w:cs="Times New Roman" w:eastAsia="Times New Roman"/>
                <w:b w:val="false"/>
                <w:sz w:val="26"/>
              </w:rPr>
              <w:t>Nghị định 23/2015/NĐ-CP</w:t>
            </w:r>
          </w:p>
        </w:tc>
        <w:tc>
          <w:p/>
          <w:p>
            <w:pPr>
              <w:spacing w:after="0" w:before="0" w:lineRule="auto" w:line="276"/>
              <w:jc w:val="left"/>
            </w:pPr>
            <w:r>
              <w:rPr>
                <w:rFonts w:ascii="Times New Roman" w:hAnsi="Times New Roman" w:cs="Times New Roman" w:eastAsia="Times New Roman"/>
                <w:b w:val="false"/>
                <w:sz w:val="26"/>
              </w:rPr>
              <w:t>16-02-2015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20/2015/TT-BTP</w:t>
            </w:r>
          </w:p>
        </w:tc>
        <w:tc>
          <w:p/>
          <w:p>
            <w:pPr>
              <w:spacing w:after="0" w:before="0" w:lineRule="auto" w:line="276"/>
              <w:jc w:val="left"/>
            </w:pPr>
            <w:r>
              <w:rPr>
                <w:rFonts w:ascii="Times New Roman" w:hAnsi="Times New Roman" w:cs="Times New Roman" w:eastAsia="Times New Roman"/>
                <w:b w:val="false"/>
                <w:sz w:val="26"/>
              </w:rPr>
              <w:t>Thông tư  20/2015/TT-BTP</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Các trường hợp không được chứng thực chữ ký:
+ Tại thời điểm chứng thực, người yêu cầu chứng thực chữ ký không nhận thức và làm chủ được hành vi của mình.
+ Người yêu cầu chứng thực chữ ký xuất trình Giấy chứng minh nhân dân hoặc Hộ chiếu không còn giá trị sử dụng hoặc giả mạo.
+ Giấy tờ, văn bản mà người yêu cầu chứng thực ký vào có nội dung trái pháp luật, đạo đức xã hội; tuyên truyền, kích động chiến tranh, chống chế độ xã hội chủ nghĩa Việt Nam; xuyên tạc lịch sử của dân tộc Việt Nam; xúc phạm danh dự, nhân phẩm, uy tín của cá nhân, tổ chức; vi phạm quyền công dân..
+ Giấy tờ, văn bản có nội dung là hợp đồng, giao dịch, trừ các trường hợp chứng thực chữ ký trong Giấy ủy quyền đối với trường hợp ủy quyền không có thù lao, không có nghĩa vụ bồi thường của bên được ủy quyền và không liên quan đến việc chuyển quyền sở hữu tài sản, quyền sử dụng bất động sản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2025-11-27T16:40:14Z</dcterms:created>
  <dc:creator>Apache POI</dc:creator>
</cp:coreProperties>
</file>