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trợ cấp nghỉ DSPHSK sau ốm đau, thai sản, TNLĐ, BNN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a) Lập Danh sách đề nghị giải quyết hưởng chế độ ốm đau, thai sản, DSPHSK (mẫu 01B-HSB).</w:t>
      </w:r>
    </w:p>
    <w:p>
      <w:pPr>
        <w:spacing w:after="0" w:before="0" w:lineRule="auto" w:line="276"/>
        <w:jc w:val="both"/>
      </w:pPr>
      <w:r>
        <w:rPr>
          <w:rFonts w:ascii="Times New Roman" w:hAnsi="Times New Roman" w:cs="Times New Roman" w:eastAsia="Times New Roman"/>
          <w:b w:val="false"/>
          <w:sz w:val="26"/>
        </w:rPr>
        <w:t>b) Nộp hồ sơ cho cơ quan BHXH nơi đơn vị SDLĐ đóng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1. Đơn vị SDLĐ: nhận Danh sách giải quyết hưởng chế độ ốm đau, thai sản, trợ cấp DSPHSK (mẫu C70a-HD) và tiền trợ cấp để chi trả cho NLĐ đăng ký nhận tiền mặt tại đơn vị SDLĐ.</w:t>
      </w:r>
    </w:p>
    <w:p>
      <w:pPr>
        <w:spacing w:after="0" w:before="0" w:lineRule="auto" w:line="276"/>
        <w:jc w:val="both"/>
      </w:pPr>
      <w:r>
        <w:rPr>
          <w:rFonts w:ascii="Times New Roman" w:hAnsi="Times New Roman" w:cs="Times New Roman" w:eastAsia="Times New Roman"/>
          <w:b w:val="false"/>
          <w:sz w:val="26"/>
        </w:rPr>
        <w:t>2. NLĐ: nhận tiền trợ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 Trực tiếp tại cơ quan BHXH hoặc Trung tâm phục vụ HCC các cấp (nếu có).
2. Nhận kết quả:
a) Đơn vị SDLĐ:
- Hồ sơ, giấy tờ: Theo hình thức đăng ký nhận hồ sơ (tại cơ quan BHXH/Trung tâm phục vụ HCC các cấp hoặc thông qua dịch vụ bưu chính công ích hoặc qua giao dịch điện tử);
- Nhận tiền trợ cấp cơ quan BHXH chuyển qua tài khoản của đơn vị để chi trả cho NLĐ đăng ký nhận bằng tiền mặt tại đơn vị SDLĐ.
b) NLĐ nhận tiền trợ cấp bằng một trong các hình thức sau:
- Thông qua tài khoản cá nhân;
- Bằng tiền mặt tại cơ quan BHXH trong trường hợp chưa nhận tại đơn vị mà đơn vị đã chuyển lại kinh phí cho cơ quan BHXH.
- Thông qua đơn vị SDLĐ.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 Trực tuyến
2. Nhận kết quả:
a) Đơn vị SDLĐ:
- Hồ sơ, giấy tờ: Theo hình thức đăng ký nhận hồ sơ (tại cơ quan BHXH/Trung tâm phục vụ HCC các cấp hoặc thông qua dịch vụ bưu chính công ích hoặc qua giao dịch điện tử);
- Nhận tiền trợ cấp cơ quan BHXH chuyển qua tài khoản của đơn vị để chi trả cho NLĐ đăng ký nhận bằng tiền mặt tại đơn vị SDLĐ.
b) NLĐ nhận tiền trợ cấp bằng một trong các hình thức sau:
- Thông qua tài khoản cá nhân;
- Bằng tiền mặt tại cơ quan BHXH trong trường hợp chưa nhận tại đơn vị mà đơn vị đã chuyển lại kinh phí cho cơ quan BHXH.
- Thông qua đơn vị SDLĐ.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Đơn vị SDLĐ nộp hồ sơ qua dịch vụ bưu chính công ích;
2. Nhận kết quả:
a) Đơn vị SDLĐ:
- Hồ sơ, giấy tờ: Theo hình thức đăng ký nhận hồ sơ (tại cơ quan BHXH/Trung tâm phục vụ HCC các cấp hoặc thông qua dịch vụ bưu chính công ích hoặc qua giao dịch điện tử);
- Nhận tiền trợ cấp cơ quan BHXH chuyển qua tài khoản của đơn vị để chi trả cho NLĐ đăng ký nhận bằng tiền mặt tại đơn vị SDLĐ.
b) NLĐ nhận tiền trợ cấp bằng một trong các hình thức sau:
- Thông qua tài khoản cá nhân;
- Bằng tiền mặt tại cơ quan BHXH trong trường hợp chưa nhận tại đơn vị mà đơn vị đã chuyển lại kinh phí cho cơ quan BHXH.
- Thông qua đơn vị SDLĐ.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đề nghị giải quyết hưởng chế độ ốm đau, thai sản, DSPHSK</w:t>
            </w:r>
          </w:p>
        </w:tc>
        <w:tc>
          <w:p/>
          <w:p>
            <w:pPr>
              <w:spacing w:after="0" w:before="0" w:lineRule="auto" w:line="276"/>
              <w:jc w:val="left"/>
            </w:pPr>
            <w:r>
              <w:rPr>
                <w:rFonts w:ascii="Times New Roman" w:hAnsi="Times New Roman" w:cs="Times New Roman" w:eastAsia="Times New Roman"/>
                <w:b w:val="false"/>
                <w:sz w:val="26"/>
              </w:rPr>
              <w:t>01B-HSB.doc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giải quyết hưởng chế độ ốm đau, thai sản, dưỡng sức, phục hồi sức khỏe., Tiền trợ cấp, Giấy ủy quyền (Mẫu số 13-HSB)</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84/2015/QH13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115/2015/NĐ-CP - Quy định chi tiết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 - Quy định chi tiết và hướng dẫn thi hành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Nghị định 143/2018/NĐ-CP - Quy định chi tiết Luật bảo hiểm xã hội và Luật an toàn, vệ sinh lao động về bảo hiểm xã hội bắt buộc đối với người lao động là công dân nước ngoài làm việc tại Việt Nam</w:t>
            </w:r>
          </w:p>
        </w:tc>
        <w:tc>
          <w:p/>
          <w:p>
            <w:pPr>
              <w:spacing w:after="0" w:before="0" w:lineRule="auto" w:line="276"/>
              <w:jc w:val="left"/>
            </w:pPr>
            <w:r>
              <w:rPr>
                <w:rFonts w:ascii="Times New Roman" w:hAnsi="Times New Roman" w:cs="Times New Roman" w:eastAsia="Times New Roman"/>
                <w:b w:val="false"/>
                <w:sz w:val="26"/>
              </w:rPr>
              <w:t>15-10-2018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26/2017/TT-BLĐTBXH</w:t>
            </w:r>
          </w:p>
        </w:tc>
        <w:tc>
          <w:p/>
          <w:p>
            <w:pPr>
              <w:spacing w:after="0" w:before="0" w:lineRule="auto" w:line="276"/>
              <w:jc w:val="left"/>
            </w:pPr>
            <w:r>
              <w:rPr>
                <w:rFonts w:ascii="Times New Roman" w:hAnsi="Times New Roman" w:cs="Times New Roman" w:eastAsia="Times New Roman"/>
                <w:b w:val="false"/>
                <w:sz w:val="26"/>
              </w:rPr>
              <w:t>Thông tư 26/2017/TT-BLĐTBXH-Quy định và hướng dẫn thực hiện chế độ bảo hiểm tai nạn lao động, bệnh nghề nghiệp bắt buộc</w:t>
            </w:r>
          </w:p>
        </w:tc>
        <w:tc>
          <w:p/>
          <w:p>
            <w:pPr>
              <w:spacing w:after="0" w:before="0" w:lineRule="auto" w:line="276"/>
              <w:jc w:val="left"/>
            </w:pPr>
            <w:r>
              <w:rPr>
                <w:rFonts w:ascii="Times New Roman" w:hAnsi="Times New Roman" w:cs="Times New Roman" w:eastAsia="Times New Roman"/>
                <w:b w:val="false"/>
                <w:sz w:val="26"/>
              </w:rPr>
              <w:t>20-09-2017</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56/2017/TT-BYT</w:t>
            </w:r>
          </w:p>
        </w:tc>
        <w:tc>
          <w:p/>
          <w:p>
            <w:pPr>
              <w:spacing w:after="0" w:before="0" w:lineRule="auto" w:line="276"/>
              <w:jc w:val="left"/>
            </w:pPr>
            <w:r>
              <w:rPr>
                <w:rFonts w:ascii="Times New Roman" w:hAnsi="Times New Roman" w:cs="Times New Roman" w:eastAsia="Times New Roman"/>
                <w:b w:val="false"/>
                <w:sz w:val="26"/>
              </w:rPr>
              <w:t>Thông tư 56/2017/TT-BYT -   quy định chi tiết thi hành Luật bảo hiểm xã hội và Luật an toàn vệ sinh lao động thuộc lĩnh vực y tế</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88/2020/NĐ-CP</w:t>
            </w:r>
          </w:p>
        </w:tc>
        <w:tc>
          <w:p/>
          <w:p>
            <w:pPr>
              <w:spacing w:after="0" w:before="0" w:lineRule="auto" w:line="276"/>
              <w:jc w:val="left"/>
            </w:pPr>
            <w:r>
              <w:rPr>
                <w:rFonts w:ascii="Times New Roman" w:hAnsi="Times New Roman" w:cs="Times New Roman" w:eastAsia="Times New Roman"/>
                <w:b w:val="false"/>
                <w:sz w:val="26"/>
              </w:rPr>
              <w:t>Nghị định 88/2020/NĐ-CP</w:t>
            </w:r>
          </w:p>
        </w:tc>
        <w:tc>
          <w:p/>
          <w:p>
            <w:pPr>
              <w:spacing w:after="0" w:before="0" w:lineRule="auto" w:line="276"/>
              <w:jc w:val="left"/>
            </w:pPr>
            <w:r>
              <w:rPr>
                <w:rFonts w:ascii="Times New Roman" w:hAnsi="Times New Roman" w:cs="Times New Roman" w:eastAsia="Times New Roman"/>
                <w:b w:val="false"/>
                <w:sz w:val="26"/>
              </w:rPr>
              <w:t>28-07-2020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Khoản 1 Điều 29, Khoản 1 Điều 41 Luật BHXH; Khoản 1 Điều 54 Luật An toàn vệ sinh lao động; điểm c Khoản 3 Điều 3 Nghị định số 115/2015/NĐ-CP; Điều 7, Điều 13 Thông tư số 59/2015/TT-BLĐTBXH.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2025-11-27T16:40:15Z</dcterms:created>
  <dc:creator>Apache POI</dc:creator>
</cp:coreProperties>
</file>