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1858/QĐ-BTP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thông tin đăng ký hành nghề của Quản tài viên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tài viên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có thay đổi về địa chỉ giao dịch trong hồ sơ đăng ký hành nghề quản lý, thanh lý tài sản thì trong thời hạn 07 ngày kể từ ngày thay đổi, Quản tài viên hành nghề với tư cách cá nhân gửi văn bản đề nghị điều chỉnh thông tin đăng ký hành nghề quản lý, thanh lý tài sản đến Sở Tư pháp nơi Quản tài viên đăng ký hành nghề.
Trong thời hạn 03 ngày làm việc kể từ ngày nhận được văn bản đề nghị của Quản tài viên, Sở Tư pháp thay đổi thông tin về địa chỉ giao dịch của Quản tài viên trong danh sách Quản tài viên, doanh nghiệp hành nghề quản lý, thanh lý tài sản.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Khi có thay đổi về địa chỉ giao dịch trong hồ sơ đăng ký hành nghề quản lý, thanh lý tài sản thì trong thời hạn 07 ngày kể từ ngày thay đổi, Quản tài viên hành nghề với tư cách cá nhân gửi văn bản đề nghị điều chỉnh thông tin đăng ký hành nghề quản lý, thanh lý tài sả trực tiếp đến Sở Tư pháp nơi Quản tài viên đăng ký hành nghề</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Khi có thay đổi về địa chỉ giao dịch trong hồ sơ đăng ký hành nghề quản lý, thanh lý tài sản thì trong thời hạn 07 ngày kể từ ngày thay đổi, Quản tài viên hành nghề với tư cách cá nhân gửi văn bản đề nghị điều chỉnh thông tin đăng ký hành nghề quản lý, thanh lý tài sản trực tuyến trên Cổng Dịch vụ công quốc gia đến Sở Tư pháp nơi Quản tài viên đăng ký hành nghề</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Khi có thay đổi về địa chỉ giao dịch trong hồ sơ đăng ký hành nghề quản lý, thanh lý tài sản thì trong thời hạn 07 ngày kể từ ngày thay đổi, Quản tài viên hành nghề với tư cách cá nhân gửi văn bản đề nghị điều chỉnh thông tin đăng ký hành nghề quản lý, thanh lý tài sản qua dịch vụ bưu chính đến Sở Tư pháp nơi Quản tài viên đăng ký hành nghề</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điều chỉnh thông tin đăng ký hành nghề quản lý, thanh lý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Thay đổi thông tin về địa chỉ giao dịch của quản tài viên trong Danh sách quản tài viên, doanh nghiệp hành nghề quản lý, thanh lý tài sản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51/2014/QH13</w:t>
            </w:r>
          </w:p>
        </w:tc>
        <w:tc>
          <w:p/>
          <w:p>
            <w:pPr>
              <w:spacing w:after="0" w:before="0" w:lineRule="auto" w:line="276"/>
              <w:jc w:val="left"/>
            </w:pPr>
            <w:r>
              <w:rPr>
                <w:rFonts w:ascii="Times New Roman" w:hAnsi="Times New Roman" w:cs="Times New Roman" w:eastAsia="Times New Roman"/>
                <w:b w:val="false"/>
                <w:sz w:val="26"/>
              </w:rPr>
              <w:t>Luật 51/2014/QH13-Phá sản</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22/2015/NĐ-CP</w:t>
            </w:r>
          </w:p>
        </w:tc>
        <w:tc>
          <w:p/>
          <w:p>
            <w:pPr>
              <w:spacing w:after="0" w:before="0" w:lineRule="auto" w:line="276"/>
              <w:jc w:val="left"/>
            </w:pPr>
            <w:r>
              <w:rPr>
                <w:rFonts w:ascii="Times New Roman" w:hAnsi="Times New Roman" w:cs="Times New Roman" w:eastAsia="Times New Roman"/>
                <w:b w:val="false"/>
                <w:sz w:val="26"/>
              </w:rPr>
              <w:t>Nghị định 22/2015/NĐ-CP-Quy định chi tiết thi hành một số điều của Luật Phá sản về Quản tài viên và hành nghề quản lý, thanh lý tài sản</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112/2025/NĐ-CP</w:t>
            </w:r>
          </w:p>
        </w:tc>
        <w:tc>
          <w:p/>
          <w:p>
            <w:pPr>
              <w:spacing w:after="0" w:before="0" w:lineRule="auto" w:line="276"/>
              <w:jc w:val="left"/>
            </w:pPr>
            <w:r>
              <w:rPr>
                <w:rFonts w:ascii="Times New Roman" w:hAnsi="Times New Roman" w:cs="Times New Roman" w:eastAsia="Times New Roman"/>
                <w:b w:val="false"/>
                <w:sz w:val="26"/>
              </w:rPr>
              <w:t>Nghị định số 112/2025/NĐ-CP ngày 29/5/2025 của Chính phủ sửa đổi, bổ sung một số điều của các Nghị định thuộc lĩnh vực bổ trợ tư pháp</w:t>
            </w:r>
          </w:p>
        </w:tc>
        <w:tc>
          <w:p/>
          <w:p>
            <w:pPr>
              <w:spacing w:after="0" w:before="0" w:lineRule="auto" w:line="276"/>
              <w:jc w:val="left"/>
            </w:pPr>
            <w:r>
              <w:rPr>
                <w:rFonts w:ascii="Times New Roman" w:hAnsi="Times New Roman" w:cs="Times New Roman" w:eastAsia="Times New Roman"/>
                <w:b w:val="false"/>
                <w:sz w:val="26"/>
              </w:rPr>
              <w:t>29-05-2025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2025-11-27T16:40:26Z</dcterms:created>
  <dc:creator>Apache POI</dc:creator>
</cp:coreProperties>
</file>