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thực bản sao từ bản chính các giấy tờ, văn bản do cơ quan có thẩm quyền cấp hoặc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chứng, 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1.2. Cơ quan đại diện tiếp nhận hồ sơ, xem xét giải quyết.</w:t>
      </w:r>
    </w:p>
    <w:p>
      <w:pPr>
        <w:spacing w:after="0" w:before="0" w:lineRule="auto" w:line="276"/>
        <w:jc w:val="both"/>
      </w:pPr>
      <w:r>
        <w:rPr>
          <w:rFonts w:ascii="Times New Roman" w:hAnsi="Times New Roman" w:cs="Times New Roman" w:eastAsia="Times New Roman"/>
          <w:b w:val="false"/>
          <w:sz w:val="26"/>
        </w:rPr>
        <w:t>1.3. Nhận kết quả trực tiếp tại trụ sở cơ quan theo phiếu hẹn hồ sơ.</w:t>
      </w:r>
    </w:p>
    <w:p>
      <w:pPr>
        <w:shd w:val="clear" w:color="auto" w:fill="F2F6F9"/>
        <w:spacing w:after="0" w:before="120" w:lineRule="auto" w:line="276"/>
        <w:jc w:val="both"/>
      </w:pPr>
      <w:r>
        <w:rPr>
          <w:rFonts w:ascii="Times New Roman" w:hAnsi="Times New Roman" w:cs="Times New Roman" w:eastAsia="Times New Roman"/>
          <w:b w:val="true"/>
          <w:sz w:val="26"/>
        </w:rPr>
        <w:t>1.1. Người yêu cầu chứng thực nộp hồ sơ tại trụ sở Cơ quan đại diện ngoại giao, cơ quan lãnh sự hoặc cơ quan khác được ủy quyền thực hiện chức năng lãnh sự của Việt Nam ở nước ngoài (Cơ quan đại diện).</w:t>
      </w:r>
    </w:p>
    <w:p>
      <w:pPr>
        <w:spacing w:after="0" w:before="0" w:lineRule="auto" w:line="276"/>
        <w:jc w:val="both"/>
      </w:pPr>
      <w:r>
        <w:rPr>
          <w:rFonts w:ascii="Times New Roman" w:hAnsi="Times New Roman" w:cs="Times New Roman" w:eastAsia="Times New Roman"/>
          <w:b w:val="false"/>
          <w:sz w:val="26"/>
        </w:rPr>
        <w:t xml:space="preserve"> - Khi tiếp nhận hồ sơ, Cơ quan đại diện cấp phiếu hẹn cho Người yêu cầu chứng nhận giấy tờ, trong đó ghi rõ địa điểm, thời gian tiếp nhận hồ sơ, giấy tờ kèm theo và thời gian trả lời kết quả.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thực hiện yêu cầu chứng thực phải được đảm bảo ngay trong ngày CQĐD tiếp nhận yêu cầu hoặc trong ngày làm việc tiếp theo nếu tiếp nhận yêu cầu sau 15 giờ; trừ trường hợp cùng một lúc yêu cầu chứng thực bản sao từ nhiều loại giấy tờ, văn bản; bản chính có nhiều trang; yêu cầu số lượng nhiều bản sao; nội dung giấy tờ, văn bản phức tạp khó kiểm tra, đối chiếu mà cơ quan, tổ chức thực hiện chứng thực không thể đáp ứng được thời hạn quy định thì thời hạn chứng thực được kéo dài thêm không quá 02 (hai) ngày làm việc hoặc có thể dài hơn theo thỏa thuận bằng văn bản với người yêu cầu chứng thực.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tờ, văn bản làm cơ sở để chứng thực bản sao và bản sao cần chứng thực. Trong trường hợp bản chính giấy tờ, văn bản do cơ quan, tổ chức có thẩm quyền của nước ngoài cấp, công chứng hoặc chứng nhận thì phải được hợp pháp hóa lãnh sự theo quy định của pháp luật trước khi yêu cầu chứng thực bản sao; trừ trường hợp được miễn hợp pháp hóa lãnh sự theo điều ước quốc tế mà Việt Nam là thành viên hoặc theo nguyên tắc có đi, có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Lời chứng chứng thực bản sao từ bản chính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20/2015/TT-BTP</w:t>
            </w:r>
          </w:p>
        </w:tc>
        <w:tc>
          <w:p/>
          <w:p>
            <w:pPr>
              <w:spacing w:after="0" w:before="0" w:lineRule="auto" w:line="276"/>
              <w:jc w:val="left"/>
            </w:pPr>
            <w:r>
              <w:rPr>
                <w:rFonts w:ascii="Times New Roman" w:hAnsi="Times New Roman" w:cs="Times New Roman" w:eastAsia="Times New Roman"/>
                <w:b w:val="false"/>
                <w:sz w:val="26"/>
              </w:rPr>
              <w:t>Thông tư 20/2015/TT-BTP</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Giấy tờ, văn bản làm cơ sở để chứng thực bản sao từ bản chính:
 - Bản chính giấy tờ, văn bản do cơ quan, tổ chức có thẩm quyền cấp lần đầu, cấp lại, cấp khi đăng ký lại.
 - Bản chính giấy tờ, văn bản do cá nhân tự lập có xác nhận và đóng dấu của cơ quan, tổ chức có thẩm quyền.
 b. Bản chính giấy tờ, văn bản không được dùng làm cơ sở chứng thực bản sao:
 - Bản chính bị tẩy xóa, sửa chữa, thêm, bớt, nội dung không hợp lệ;
 - Bản chính bị hư hỏng, cũ nát không thể xác định rõ nội dụng;
 - Bản chính đóng dấu, mật của cơ quan, tổ chức có thẩm quyền hoặc không đóng dấu mật nhưng ghi rõ không được sao chụp;
 - Bản chính có nội dung trái pháp luật, đạo đức xã hội; tuyên truyền, kích động chiến tranh, chống chế độ xã hội chủ nghĩa Việt Nam; xuyên tạc lịch sử dân tộc Việt Nam; xúc phạm danh dự, nhân phẩm, uy tính của cá nhân, tổ chức; vi phạm quyền công dân;
 - Giấy tờ, văn bản do cá nhân tự lập nhưng không có xác nhận, chứng thực hoặc xác nhận của cơ quan, tổ chức có thẩm quyền;
 - Bản chính do cơ quan, tổ chức có thẩm quyền của nước ngoài cấp, công chứng hoặc chứng nhận chưa được hợp pháp hóa lãnh sự, trừ trường hợp được miễn hợp pháp hóa lãnh sự theo điều ước quốc tế mà Việt Nam là thành viên hoặc theo nguyên tắc có đi, có lại và giấy tờ tùy thân do cơ quan, tổ chức có thẩm quyền của nước ngoài cấp cho cá nhân như: hộ chiếu, thẻ căn cước hoặc các giấy tờ khác như thẻ thường trú, thẻ cư trú, giấy phép lái xe, bằng tốt nghiệp, chứng chỉ và bảng điểm kèm theo bằng tốt nghiệp, chứng chỉ thì không phải hợp pháp hóa lãnh sự khi chứng thực bản sao từ bản chính.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2025-11-27T16:40:27Z</dcterms:created>
  <dc:creator>Apache POI</dc:creator>
</cp:coreProperties>
</file>