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chế độ TNLĐ, BNN đối với trường hợp bị TNLĐ lần đầu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NLĐ lập hồ sơ theo quy định tại mục 4.3 (Thành phần hồ sơ); Nộp hồ sơ cho đơn vị SDLĐ.</w:t>
      </w:r>
    </w:p>
    <w:p>
      <w:pPr>
        <w:spacing w:after="0" w:before="0" w:lineRule="auto" w:line="276"/>
        <w:jc w:val="both"/>
      </w:pPr>
      <w:r>
        <w:rPr>
          <w:rFonts w:ascii="Times New Roman" w:hAnsi="Times New Roman" w:cs="Times New Roman" w:eastAsia="Times New Roman"/>
          <w:b w:val="false"/>
          <w:sz w:val="26"/>
        </w:rPr>
        <w:t>2. NLĐ đã nghỉ hưu, thôi việc hoặc chuyển sang đơn vị SDLĐ khác bị mắc BNN trong thời gian bảo đảm lập hồ sơ theo quy định tại điểm 1, 3, 5, 6 mục 4.3 (Thành phần hồ sơ); Nộp hồ sơ cho cơ quan BHXH nơi đang chi trả lương hưu (đối với trường hợp đang hưởng lương hưu) hoặc cơ quan BHXH (trong trường hợp đã thôi việc) hoặc nộp cho đơn vị SDLĐ nơi NLĐ đang làm việc (đối với trường hợp chuyển sang đơn vị SDLĐ khác).</w:t>
      </w:r>
    </w:p>
    <w:p>
      <w:pPr>
        <w:spacing w:after="0" w:before="0" w:lineRule="auto" w:line="276"/>
        <w:jc w:val="both"/>
      </w:pPr>
      <w:r>
        <w:rPr>
          <w:rFonts w:ascii="Times New Roman" w:hAnsi="Times New Roman" w:cs="Times New Roman" w:eastAsia="Times New Roman"/>
          <w:b w:val="false"/>
          <w:sz w:val="26"/>
        </w:rPr>
        <w:t>3. Đơn vị SDLĐ: Tiếp nhận hồ sơ từ NLĐ nêu tại điểm 1; điểm 2 (trường hợp NLĐ chuyển đến đơn vị làm việc bị mắc BNN); lập Văn bản đề nghị giải quyết chế độ TNLĐ hoặc BNN (mẫu số 05A-HSB); nộp cho cơ quan BHXH nơi đơn vị SDLĐ đóng BHXH. Đối với NLĐ sau khi đã nghỉ việc hoặc đã về hưu người SDLĐ mới lập hồ sơ giải quyết chế độ BHXH về TNLĐ trong thời gian NLĐ làm việc thì người SDLĐ chuyển hồ sơ đến cơ quan BHXH (trường hợp đã nghỉ việc) hoặc nơi chi trả lương hưu (trường hợp đang hưởng lương hưu).</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1. Đơn vị SDLĐ: Quyết định về việc hưởng trợ cấp TNLĐ, BNN hàng tháng hoặc một lần; Quyết định cấp tiền mua PTTGSH (nếu có); Bản quá trình đóng BHXH; Thẻ BHYT đối với trường hợp nghỉ việc hưởng trợ cấp TNLĐ, BNN hàng tháng; Thông báo về việc chi trả lương hưu, trợ cấp BHXH đối với trường hợp di chuyển hưởng chế độ  BHXH tại huyện/tỉnh khác để trả cho NLĐ.</w:t>
      </w:r>
    </w:p>
    <w:p>
      <w:pPr>
        <w:spacing w:after="0" w:before="0" w:lineRule="auto" w:line="276"/>
        <w:jc w:val="both"/>
      </w:pPr>
      <w:r>
        <w:rPr>
          <w:rFonts w:ascii="Times New Roman" w:hAnsi="Times New Roman" w:cs="Times New Roman" w:eastAsia="Times New Roman"/>
          <w:b w:val="false"/>
          <w:sz w:val="26"/>
        </w:rPr>
        <w:t>2. NLĐ:
- Nhận tiền trợ cấp;
- Trường hợp NLĐ nghỉ  hưu, thôi việc: Quyết định hưởng trợ cấp TNLĐ, BNN hàng tháng hoặc một lần; Quyết định cấp tiền mua PTTGSH (nếu có); Bản quá trình đóng BHXH; thẻ BHYT đối với trường hợp hưởng trợ cấp TNLĐ, BNN hàng tháng; Thông báo về việc chi trả lương hưu, trợ cấp BHXH đối với trường hợp di chuyển hưởng chế độ  BHXH tại huyện/tỉnh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 Trực tiếp tại cơ quan BHXH hoặc Trung tâm phục vụ HCC các cấp (nếu có).
2. Nhận kết quả
a) Đơn vị SDLĐ; NLĐ nghỉ hưu, thôi việc: 
Nhận hồ sơ, giấy tờ liên quan theo hình thức đăng ký nhận hồ sơ (trực tiếp tại cơ quan BHXH/Trung tâm phục vụ HCC các cấp hoặc thông qua dịch vụ bưu chính công ích hoặc giao dịch điện tử).
b) NLĐ: Nhận tiền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 Trực tuyến (trường hợp hồ sơ giấy không chuyển đổi được sang hồ sơ điện tử thì đơn vị gửi hồ sơ giấy về cơ quan BHXH qua dịch vụ bưu chính).
2. Nhận kết quả
a) Đơn vị SDLĐ; NLĐ nghỉ hưu, thôi việc: 
Nhận hồ sơ, giấy tờ liên quan theo hình thức đăng ký nhận hồ sơ (trực tiếp tại cơ quan BHXH/Trung tâm phục vụ HCC các cấp hoặc thông qua dịch vụ bưu chính công ích hoặc giao dịch điện tử).
b) NLĐ: Nhận tiền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 Qua dịch vụ bưu chính công ích. 
2. Nhận kết quả
a) Đơn vị SDLĐ; NLĐ nghỉ hưu, thôi việc: 
Nhận hồ sơ, giấy tờ liên quan theo hình thức đăng ký nhận hồ sơ (trực tiếp tại cơ quan BHXH/Trung tâm phục vụ HCC các cấp hoặc thông qua dịch vụ bưu chính công ích hoặc giao dịch điện tử).
b) NLĐ: Nhận tiền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Bản chính Văn bản đề nghị giải quyết chế độ TNLĐ, BNN (mẫu 05A-HSB) của đơn vị SDLĐ; bản chính Đơn đề nghị về việc hưởng chế độ BNN (mẫu 01) ban hành kèm theo Nghị định số 88/2020/NĐ-CP</w:t>
            </w:r>
          </w:p>
        </w:tc>
        <w:tc>
          <w:p/>
          <w:p>
            <w:pPr>
              <w:spacing w:after="0" w:before="0" w:lineRule="auto" w:line="276"/>
              <w:jc w:val="left"/>
            </w:pPr>
            <w:r>
              <w:rPr>
                <w:rFonts w:ascii="Times New Roman" w:hAnsi="Times New Roman" w:cs="Times New Roman" w:eastAsia="Times New Roman"/>
                <w:b w:val="false"/>
                <w:sz w:val="26"/>
              </w:rPr>
              <w:t>Mẫu số 01 _ NĐ 88.docx</w:t>
            </w:r>
          </w:p>
          <w:p>
            <w:pPr>
              <w:spacing w:after="0" w:before="0" w:lineRule="auto" w:line="276"/>
              <w:jc w:val="left"/>
            </w:pPr>
            <w:r>
              <w:rPr>
                <w:rFonts w:ascii="Times New Roman" w:hAnsi="Times New Roman" w:cs="Times New Roman" w:eastAsia="Times New Roman"/>
                <w:b w:val="false"/>
                <w:sz w:val="26"/>
              </w:rPr>
              <w:t>05A_HSB.docx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ra viện hoặc trích sao hồ sơ bệnh án sau khi đã điều trị TNLĐ hoặc BNN (trường hợp điều trị nội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Biên bản giám định mức suy giảm KNLĐ của Hội đồng GĐYK hoặc bản sao Giấy chứng nhận bị nhiễm HIV/AIDS do tai nạn rủi ro nghề nghiệp trong trường hợp bị nhiễm HIV/AIDS do tai nạn rủi ro nghề nghiệp (tương đương mức suy giảm KNLĐ 61%), nếu GĐYK mà tỷ lệ suy giảm KNLĐ cao hơn 61% thì hồ sơ hưởng chế độ BNN trong trường hợp này phải có Biên bản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Trường hợp bị BNN mà không điều trị nội trú thì có thêm Giấy khám BNN.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Chỉ định của cơ sở KCB, cơ sở chỉnh hình, phục hồi chức năng theo quy định về trang cấp PTTGSH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Hóa đơn, chứng từ thu phí giám định; bảng kê các nội dung giám định của cơ sở thực hiện GĐYK (trường hợp thanh toán phí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Tiền trợ cấp, Bản quá trình đóng BHXH (Mẫu 04-HSB), Thông báo về việc chi trả lương hưu, trợ cấp BHXH đối với trường hợp di chuyển hưởng chế độ  BHXH tại huyện/tỉnh khác (Mẫu 23-HSB)., Thẻ BHYT đối với trường hợp nghỉ việc hưởng trợ cấp TNLĐ, BNN hàng tháng, Quyết định về việc hưởng trợ cấp TNLĐ, BNN hàng tháng hoặc một lần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 - Quy định chi tiết và hướng dẫn thi hành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 - 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84/2015/QH13</w:t>
            </w:r>
          </w:p>
        </w:tc>
        <w:tc>
          <w:p/>
          <w:p>
            <w:pPr>
              <w:spacing w:after="0" w:before="0" w:lineRule="auto" w:line="276"/>
              <w:jc w:val="left"/>
            </w:pPr>
            <w:r>
              <w:rPr>
                <w:rFonts w:ascii="Times New Roman" w:hAnsi="Times New Roman" w:cs="Times New Roman" w:eastAsia="Times New Roman"/>
                <w:b w:val="false"/>
                <w:sz w:val="26"/>
              </w:rPr>
              <w:t>25-06-2015</w:t>
            </w:r>
          </w:p>
        </w:tc>
        <w:tc>
          <w:p/>
        </w:tc>
      </w:tr>
      <w:tr>
        <w:tc>
          <w:p/>
          <w:p>
            <w:pPr>
              <w:spacing w:after="0" w:before="0" w:lineRule="auto" w:line="276"/>
              <w:jc w:val="left"/>
            </w:pPr>
            <w:r>
              <w:rPr>
                <w:rFonts w:ascii="Times New Roman" w:hAnsi="Times New Roman" w:cs="Times New Roman" w:eastAsia="Times New Roman"/>
                <w:b w:val="false"/>
                <w:sz w:val="26"/>
              </w:rPr>
              <w:t>58/2020/NĐ-CP</w:t>
            </w:r>
          </w:p>
        </w:tc>
        <w:tc>
          <w:p/>
          <w:p>
            <w:pPr>
              <w:spacing w:after="0" w:before="0" w:lineRule="auto" w:line="276"/>
              <w:jc w:val="left"/>
            </w:pPr>
            <w:r>
              <w:rPr>
                <w:rFonts w:ascii="Times New Roman" w:hAnsi="Times New Roman" w:cs="Times New Roman" w:eastAsia="Times New Roman"/>
                <w:b w:val="false"/>
                <w:sz w:val="26"/>
              </w:rPr>
              <w:t>Nghị định 58/2020/NĐ-CP</w:t>
            </w:r>
          </w:p>
        </w:tc>
        <w:tc>
          <w:p/>
          <w:p>
            <w:pPr>
              <w:spacing w:after="0" w:before="0" w:lineRule="auto" w:line="276"/>
              <w:jc w:val="left"/>
            </w:pPr>
            <w:r>
              <w:rPr>
                <w:rFonts w:ascii="Times New Roman" w:hAnsi="Times New Roman" w:cs="Times New Roman" w:eastAsia="Times New Roman"/>
                <w:b w:val="false"/>
                <w:sz w:val="26"/>
              </w:rPr>
              <w:t>27-05-2020</w:t>
            </w:r>
          </w:p>
        </w:tc>
        <w:tc>
          <w:p/>
        </w:tc>
      </w:tr>
      <w:tr>
        <w:tc>
          <w:p/>
          <w:p>
            <w:pPr>
              <w:spacing w:after="0" w:before="0" w:lineRule="auto" w:line="276"/>
              <w:jc w:val="left"/>
            </w:pPr>
            <w:r>
              <w:rPr>
                <w:rFonts w:ascii="Times New Roman" w:hAnsi="Times New Roman" w:cs="Times New Roman" w:eastAsia="Times New Roman"/>
                <w:b w:val="false"/>
                <w:sz w:val="26"/>
              </w:rPr>
              <w:t>88/2020/NĐ-CP</w:t>
            </w:r>
          </w:p>
        </w:tc>
        <w:tc>
          <w:p/>
          <w:p>
            <w:pPr>
              <w:spacing w:after="0" w:before="0" w:lineRule="auto" w:line="276"/>
              <w:jc w:val="left"/>
            </w:pPr>
            <w:r>
              <w:rPr>
                <w:rFonts w:ascii="Times New Roman" w:hAnsi="Times New Roman" w:cs="Times New Roman" w:eastAsia="Times New Roman"/>
                <w:b w:val="false"/>
                <w:sz w:val="26"/>
              </w:rPr>
              <w:t>Nghị định 88/2020/NĐ-CP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15/2016/TT-BYT</w:t>
            </w:r>
          </w:p>
        </w:tc>
        <w:tc>
          <w:p/>
          <w:p>
            <w:pPr>
              <w:spacing w:after="0" w:before="0" w:lineRule="auto" w:line="276"/>
              <w:jc w:val="left"/>
            </w:pPr>
            <w:r>
              <w:rPr>
                <w:rFonts w:ascii="Times New Roman" w:hAnsi="Times New Roman" w:cs="Times New Roman" w:eastAsia="Times New Roman"/>
                <w:b w:val="false"/>
                <w:sz w:val="26"/>
              </w:rPr>
              <w:t>Thông tư 15/2016/TT-BYT</w:t>
            </w:r>
          </w:p>
        </w:tc>
        <w:tc>
          <w:p/>
          <w:p>
            <w:pPr>
              <w:spacing w:after="0" w:before="0" w:lineRule="auto" w:line="276"/>
              <w:jc w:val="left"/>
            </w:pPr>
            <w:r>
              <w:rPr>
                <w:rFonts w:ascii="Times New Roman" w:hAnsi="Times New Roman" w:cs="Times New Roman" w:eastAsia="Times New Roman"/>
                <w:b w:val="false"/>
                <w:sz w:val="26"/>
              </w:rPr>
              <w:t>15-05-2016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45, 51 Luật An toàn vệ sinh lao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2025-11-27T16:40:57Z</dcterms:created>
  <dc:creator>Apache POI</dc:creator>
</cp:coreProperties>
</file>