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TNLĐ, BNN đối với trường hợp đã bị TNLĐ, BNN nay tiếp tục bị TNLĐ hoặc BNN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NLĐ lập hồ sơ theo quy định tại mục 6.3 (Thành phần hồ sơ); nộp hồ sơ cho đơn vị SDLĐ.</w:t>
      </w:r>
    </w:p>
    <w:p>
      <w:pPr>
        <w:spacing w:after="0" w:before="0" w:lineRule="auto" w:line="276"/>
        <w:jc w:val="both"/>
      </w:pPr>
      <w:r>
        <w:rPr>
          <w:rFonts w:ascii="Times New Roman" w:hAnsi="Times New Roman" w:cs="Times New Roman" w:eastAsia="Times New Roman"/>
          <w:b w:val="false"/>
          <w:sz w:val="26"/>
        </w:rPr>
        <w:t>2. Đơn vị SDLĐ tiếp nhận hồ sơ từ NLĐ, lập Văn bản đề nghị giải quyết chế độ TNLĐ hoặc BNN (mẫu số 05A-HSB) và hoàn thiện hồ sơ theo quy định; nộp hồ sơ cho cơ quan BHXH nơi đơn vị SDLĐ đóng BHXH trong thời hạn 30 ngày kể từ ngày nhận đủ hồ sơ từ NLĐ.</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NLĐ: Nhận tiền trợ cấp</w:t>
      </w:r>
    </w:p>
    <w:p>
      <w:pPr>
        <w:spacing w:after="0" w:before="0" w:lineRule="auto" w:line="276"/>
        <w:jc w:val="both"/>
      </w:pPr>
      <w:r>
        <w:rPr>
          <w:rFonts w:ascii="Times New Roman" w:hAnsi="Times New Roman" w:cs="Times New Roman" w:eastAsia="Times New Roman"/>
          <w:b w:val="false"/>
          <w:sz w:val="26"/>
        </w:rPr>
        <w:t>2. Đơn vị SDLĐ: Nhận Quyết định về việc hưởng trợ cấp TNLĐ, BNN hàng tháng hoặc một lần do giám định tổng hợp mức suy giảm khả năng lao động và Quyết định cấp tiền mua PTTGSH (nếu có); Bản quá trình đóng BHXH; Thẻ BHYT đối với trường hợp nghỉ việc hưởng trợ cấp TNLĐ, BNN hàng tháng; Thông báo về việc chi trả lương hưu, trợ cấp BHXH đối với trường hợp di chuyển hưởng chế độ  BHXH tại huyện/tỉnh khác để trả cho NLĐ.</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Đơn vị SDLĐ: Trực tiếp tại cơ quan BHXH hoặc Trung tâm phục vụ HCC các cấp (nếu có).
2. Nhận kết quả
- Đơn vị SDLĐ: Nhận hồ sơ, giấy tờ liên quan theo hình thức đăng ký nhận hồ sơ (tại cơ quan BHXH/Trung tâm phục vụ HCC các cấp hoặc thông qua dịch vụ bưu chính công ích hoặc qua giao dịch điện tử).
- NLĐ nhận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Đơn vị SDLĐ: Trực tuyến (trường hợp nộp hồ sơ: hồ sơ giấy không chuyển đổi được sang hồ sơ điện tử thì đơn vị gửi hồ sơ giấy về cơ quan BHXH qua dịch vụ bưu chính).
2. Nhận kết quả
- Đơn vị SDLĐ: Nhận hồ sơ, giấy tờ liên quan theo hình thức đăng ký nhận hồ sơ (tại cơ quan BHXH/Trung tâm phục vụ HCC các cấp hoặc thông qua dịch vụ bưu chính công ích hoặc qua giao dịch điện tử).
- NLĐ nhận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Đơn vị SDLĐ: nộp hồ sơ qua dịch vụ bưu chính công ích;
2. Nhận kết quả
- Đơn vị SDLĐ: Nhận hồ sơ, giấy tờ liên quan theo hình thức đăng ký nhận hồ sơ (tại cơ quan BHXH/Trung tâm phục vụ HCC các cấp hoặc thông qua dịch vụ bưu chính công ích hoặc qua giao dịch điện tử).
- NLĐ nhận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chính hoặc bản sao hợp lệ</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Bản chính Văn bản đề nghị giải quyết chế độ TNLĐ, BNN (mẫu số 05A-HSB) đối với lần bị TNLĐ, BNN sau cùng; trường hợp lần bị TNLĐ, BNN trước đó tại đơn vị SDLĐ khác nhưng chưa được giải quyết chế độ thì có thêm bản chính văn bản đề nghị giải quyết của đơn vị SDLĐ nơi xảy ra TNLĐ, BNN (mẫu số 05A-HSB).</w:t>
            </w:r>
          </w:p>
        </w:tc>
        <w:tc>
          <w:p/>
          <w:p>
            <w:pPr>
              <w:spacing w:after="0" w:before="0" w:lineRule="auto" w:line="276"/>
              <w:jc w:val="left"/>
            </w:pPr>
            <w:r>
              <w:rPr>
                <w:rFonts w:ascii="Times New Roman" w:hAnsi="Times New Roman" w:cs="Times New Roman" w:eastAsia="Times New Roman"/>
                <w:b w:val="false"/>
                <w:sz w:val="26"/>
              </w:rPr>
              <w:t>05A_HSB.docx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ra viện hoặc trích sao hồ sơ bệnh án sau khi đã điều trị TNLĐ, BNN của lần điều trị nội trú sau cùng.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Trường hợp bị TNLĐ, BNN điều trị xong, ra viện trước ngày 01 tháng 7 năm 2016 mà chưa được giám định mức suy giảm KNLĐ: - Đối với TNLĐ: Biên bản điều tra TNLĐ; nếu bị TNGT được xác định là TNLĐ thì có thêm một trong các giấy tờ sau: Bản sao Biên bản khám nghiệm hiện trường, sơ đồ hiện trường vụ TNGT hoặc bản sao biên bản TNGT của cơ quan công an hoặc cơ quan điều tra hình sự quân đội. - Đối với BNN: Kết quả đo đạc, quan trắc môi trường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Trường hợp đang hưởng trợ cấp TNLĐ, BNN trước ngày 1/1/2007 đã được trang cấp PTTGSH nay đề nghị trang cấp tiếp: Hóa đơn, chứng từ mua các phương tiện được trang cấp; vé tàu xe đi lại để làm hoặc nhận phương tiện trang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Biên bản giám định tổng hợp mức suy giảm KNLĐ của Hội đồng GĐYK; trường hợp lần bị TNLĐ, BNN trước đã được giám định mức suy giảm KNLĐ nhưng không đủ điều kiện hưởng trợ cấp thì có thêm Biên bản giám định mức suy giảm KNLĐ của lần giám định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Chỉ định của cơ sở KCB, cơ sở chỉnh hình, phục hồi chức năng theo quy định về việc trang cấp PTTGSH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Hóa đơn, chứng từ thu phí giám định kèm theo bảng kê các nội dung giám định của cơ sở thực hiện GĐYK (Trường hợp thanh toán phí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cấp tiền mua phương tiện trợ giúp sinh hoạt, dụng cụ chỉnh hình, Quyết định về việc hưởng trợ cấp TNLĐ /bệnh nghề nghiệp hàng tháng do giám định tổng hợp mức suy giảm khả năng lao động, Quyết định về việc hưởng trợ cấp TNLĐ/BNN một lần do giám định tổng hợp mức suy giảm khả năng lao động, Tiền trợ cấp, Thẻ BHYT đối với trường hợp nghỉ việc hưởng trợ cấp TNLĐ, BNN hàng tháng, Quyết định về việc cấp tiền mua PTTGSH, Quyết định về việc hưởng trợ cấp TNLĐ/BNN hàng tháng hoặc một lần do giám định tổng hợp mức suy giảm KNLĐ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84/2015/QH13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58/2020/NĐ-CP</w:t>
            </w:r>
          </w:p>
        </w:tc>
        <w:tc>
          <w:p/>
          <w:p>
            <w:pPr>
              <w:spacing w:after="0" w:before="0" w:lineRule="auto" w:line="276"/>
              <w:jc w:val="left"/>
            </w:pPr>
            <w:r>
              <w:rPr>
                <w:rFonts w:ascii="Times New Roman" w:hAnsi="Times New Roman" w:cs="Times New Roman" w:eastAsia="Times New Roman"/>
                <w:b w:val="false"/>
                <w:sz w:val="26"/>
              </w:rPr>
              <w:t>Nghị định 58/2020/NĐ-CP</w:t>
            </w:r>
          </w:p>
        </w:tc>
        <w:tc>
          <w:p/>
          <w:p>
            <w:pPr>
              <w:spacing w:after="0" w:before="0" w:lineRule="auto" w:line="276"/>
              <w:jc w:val="left"/>
            </w:pPr>
            <w:r>
              <w:rPr>
                <w:rFonts w:ascii="Times New Roman" w:hAnsi="Times New Roman" w:cs="Times New Roman" w:eastAsia="Times New Roman"/>
                <w:b w:val="false"/>
                <w:sz w:val="26"/>
              </w:rPr>
              <w:t>27-05-2020</w:t>
            </w:r>
          </w:p>
        </w:tc>
        <w:tc>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15/2016/TT-BYT</w:t>
            </w:r>
          </w:p>
        </w:tc>
        <w:tc>
          <w:p/>
          <w:p>
            <w:pPr>
              <w:spacing w:after="0" w:before="0" w:lineRule="auto" w:line="276"/>
              <w:jc w:val="left"/>
            </w:pPr>
            <w:r>
              <w:rPr>
                <w:rFonts w:ascii="Times New Roman" w:hAnsi="Times New Roman" w:cs="Times New Roman" w:eastAsia="Times New Roman"/>
                <w:b w:val="false"/>
                <w:sz w:val="26"/>
              </w:rPr>
              <w:t>Thông tư 15/2016/TT-BYT</w:t>
            </w:r>
          </w:p>
        </w:tc>
        <w:tc>
          <w:p/>
          <w:p>
            <w:pPr>
              <w:spacing w:after="0" w:before="0" w:lineRule="auto" w:line="276"/>
              <w:jc w:val="left"/>
            </w:pPr>
            <w:r>
              <w:rPr>
                <w:rFonts w:ascii="Times New Roman" w:hAnsi="Times New Roman" w:cs="Times New Roman" w:eastAsia="Times New Roman"/>
                <w:b w:val="false"/>
                <w:sz w:val="26"/>
              </w:rPr>
              <w:t>15-05-2016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Bị suy giảm KNLĐ từ 5% trở lên.
- NLĐ tham gia bảo hiểm TNLĐ, BNN đã bị TNLĐ, BNN, nay lại tiếp tục bị TNLĐ, BNN thuộc các trường hợp đã nêu tại thủ tục giải quyết hưởng chế độ TNLĐ, BNN đối với lần đầu.
- NLĐ bị TNLĐ mà bị tổn thương các chức năng hoạt động của cơ thể thì được cấp PTTGSH theo niên hạn căn cứ vào tình trạng thương tật.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2025-11-27T16:41:10Z</dcterms:created>
  <dc:creator>Apache POI</dc:creator>
</cp:coreProperties>
</file>