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1.001644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1372a/QĐ-NHNN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Danh sách nhân sự dự kiến bầu, bổ nhiệm làm chủ tịch và thành viên khác của Hội đồng quản trị, trưởng ban và thành viên khác của Ban kiểm soát, Tổng giám đốc (Giám đốc) của Ngân hàng hợp tác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Tối thiểu 40 ngày trước ngày dự kiến họp Đại hội thành viên hoặc ngày Hội đồng quản trị dự kiến bổ nhiệm (bao gồm cả trường hợp thuê) Tổng Giám đốc (Giám đốc), Ngân hàng hợp tác xã lập hồ sơ theo quy định và gửi Ngân hàng Nhà nước Việt Nam. 
- Bước 2: Trường hợp hồ sơ chưa đầy đủ, trong thời hạn 03 ngày làm việc kể từ ngày nhận được hồ sơ, Ngân hàng Nhà nước Việt Nam có văn bản yêu cầu Ngân hàng hợp tác xã bổ sung hồ sơ;
Ngân hàng Nhà nước Việt Nam khai thác các thông tin cần thiết trong cơ sở dữ liệu quốc gia về dân cư khi xem xét, thẩm định thông tin về cư trú. Trong trường hợp không khai thác được các thông tin cần thiết trong cơ sở dữ liệu quốc gia về dân cư, Ngân hàng Nhà nước Việt Nam có quyền yêu cầu Ngân hàng hợp tác xã cung cấp văn bản xác nhận thông tin về cư trú đối với nhân sự dự kiến bầu, bổ nhiệm của cơ quan đăng ký cư trú có thẩm quyền theo quy định của pháp luật có liên quan.
- Bước 3: Trong thời hạn 20 ngày kể từ ngày nhận đủ hồ sơ hợp lệ, Ngân hàng Nhà nước Việt Nam có văn bản chấp thuận danh sách dự kiến của Ngân hàng hợp tác xã; trường hợp từ chối, Ngân hàng Nhà nước Việt Nam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chấp thuận danh sách nhân sự dự kiến theo mẫu tại Phụ lục số 10 ban hành kèm theo Thông tư số 28/2024/TT-NHNN;</w:t>
            </w:r>
          </w:p>
        </w:tc>
        <w:tc>
          <w:p/>
          <w:p>
            <w:pPr>
              <w:spacing w:after="0" w:before="0" w:lineRule="auto" w:line="276"/>
              <w:jc w:val="left"/>
            </w:pPr>
            <w:r>
              <w:rPr>
                <w:rFonts w:ascii="Times New Roman" w:hAnsi="Times New Roman" w:cs="Times New Roman" w:eastAsia="Times New Roman"/>
                <w:b w:val="false"/>
                <w:sz w:val="26"/>
              </w:rPr>
              <w:t>Phụ lục số 10.docx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Hội đồng quản trị thông qua danh sách nhân sự dự kiến của Ngân hàng hợp tác xã, trong đó cam kết nhân sự dự kiến bầu, bổ nhiệm đảm bảo đủ tiêu chuẩn, điều kiện theo quy định tại Luật Các tổ chức tín dụng, các quy định của pháp luật có liên quan và quy định tại Điều lệ của Ngân hàng hợp tác xã;</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Sơ yếu lý lịch cá nhân của nhân sự dự kiến bầu, bổ nhiệm theo mẫu tại Phụ lục số 11 ban hành kèm theo Thông tư số 28/2024/TT-NHNN;</w:t>
            </w:r>
          </w:p>
        </w:tc>
        <w:tc>
          <w:p/>
          <w:p>
            <w:pPr>
              <w:spacing w:after="0" w:before="0" w:lineRule="auto" w:line="276"/>
              <w:jc w:val="left"/>
            </w:pPr>
            <w:r>
              <w:rPr>
                <w:rFonts w:ascii="Times New Roman" w:hAnsi="Times New Roman" w:cs="Times New Roman" w:eastAsia="Times New Roman"/>
                <w:b w:val="false"/>
                <w:sz w:val="26"/>
              </w:rPr>
              <w:t>Phụ lục số 11.docx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Phiếu lý lịch tư pháp của nhân sự dự kiến bầu, bổ nhiệm, trong đó phải đầy đủ thông tin về án tích nếu có (bao gồm án tích đã được xóa và án tích chưa được xóa); phiếu lý lịch tư pháp phải được cơ quan có thẩm quyền cấp trước thời điểm Ngân hàng hợp tác xã nộp hồ sơ đề nghị chấp thuận danh sách dự kiến nhân sự tối đa 06 tháng; Nhân sự dự kiến có thể xuất trình Phiếu lý lịch tư pháp bản điện tử đã được cấp trên ứng dụng định danh và xác thực điện tử VNeID hoặc nộp Phiếu lý lịch tư pháp bản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kê khai người có liên quan của nhân sự dự kiến bầu, bổ nhiệm theo mẫu tại Phụ lục số 12 ban hành kèm theo Thông tư số 28/2024/TT-NHNN;</w:t>
            </w:r>
          </w:p>
        </w:tc>
        <w:tc>
          <w:p/>
          <w:p>
            <w:pPr>
              <w:spacing w:after="0" w:before="0" w:lineRule="auto" w:line="276"/>
              <w:jc w:val="left"/>
            </w:pPr>
            <w:r>
              <w:rPr>
                <w:rFonts w:ascii="Times New Roman" w:hAnsi="Times New Roman" w:cs="Times New Roman" w:eastAsia="Times New Roman"/>
                <w:b w:val="false"/>
                <w:sz w:val="26"/>
              </w:rPr>
              <w:t>Phụ lục số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văn bằng, chứng chỉ của nhân sự dự kiến bầu, bổ nhiệm chứng minh về việc đáp ứng tiêu chuẩn, điều kiện theo quy định của Ngân hàng Nhà nước. Trường hợp văn bằng, chứng chỉ do cơ sở giáo dục nước ngoài cấp phải được cơ quan có thẩm quyền của Việt Nam công nhận theo quy định của pháp luật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đánh giá của tổ chức tín dụng, chi nhánh ngân hàng nước ngoài nơi nhân sự dự kiến đã, đang công tác theo mẫu tại Phụ lục số 13 ban hành kèm theo Thông tư số 28/2024/TT-NHNN.</w:t>
            </w:r>
          </w:p>
        </w:tc>
        <w:tc>
          <w:p/>
          <w:p>
            <w:pPr>
              <w:spacing w:after="0" w:before="0" w:lineRule="auto" w:line="276"/>
              <w:jc w:val="left"/>
            </w:pPr>
            <w:r>
              <w:rPr>
                <w:rFonts w:ascii="Times New Roman" w:hAnsi="Times New Roman" w:cs="Times New Roman" w:eastAsia="Times New Roman"/>
                <w:b w:val="false"/>
                <w:sz w:val="26"/>
              </w:rPr>
              <w:t>Phụ lục số 13.docx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danh sách dự kiến của ngân hàng hợp tác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28/2024/TT-NHNN</w:t>
            </w:r>
          </w:p>
        </w:tc>
        <w:tc>
          <w:p/>
          <w:p>
            <w:pPr>
              <w:spacing w:after="0" w:before="0" w:lineRule="auto" w:line="276"/>
              <w:jc w:val="left"/>
            </w:pPr>
            <w:r>
              <w:rPr>
                <w:rFonts w:ascii="Times New Roman" w:hAnsi="Times New Roman" w:cs="Times New Roman" w:eastAsia="Times New Roman"/>
                <w:b w:val="false"/>
                <w:sz w:val="26"/>
              </w:rPr>
              <w:t>Thông tư quy định về hồ sơ, trình tự, thủ tục chấp thuận những thay đổi, danh sách dự kiến bầu, bổ nhiệm nhân sự của tổ chức tín dụng là hợp tác xã</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Nhân sự dự kiến không thuộc một trong các trường hợp quy định tại Khoản 1 Điều 12 Thông tư số 28/2024/TT-NHNN phải đáp ứng các quy định như sau:
a) Nhân sự dự kiến đã, đang công tác tại tổ chức tín dụng, chi nhánh ngân hàng nước ngoài phải đáp ứng các quy định về quy tắc, chuẩn mực đạo đức nghề nghiệp do chính tổ chức tín dụng, chi nhánh ngân hàng nước ngoài đó ban hành theo quy định của Ngân hàng Nhà nước về hệ thống kiểm soát nội bộ, kiểm toán nội bộ của tổ chức tín dụng, chi nhánh ngân hàng nước ngoài;
b) Nhân sự dự kiến phải đáp ứng các quy định về quy tắc, chuẩn mực đạo đức nghề nghiệp do tổ chức tín dụng là hợp tác xã ban hành theo quy định của Ngân hàng Nhà nước về hệ thống kiểm soát nội bộ, kiểm toán nội bộ của tổ chức tín dụng, chi nhánh ngân hàng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Nguyên tắc lập hồ sơ:
	+ Văn bản đề nghị của tổ chức tín dụng là hợp tác xã do người đại diện hợp pháp của tổ chức tín dụng là hợp tác xã ký. Trường hợp người đại diện theo ủy quyền ký, hồ sơ phải có văn bản ủy quyền được lập phù hợp với quy định của pháp luật.
	+ Hồ sơ được lập thành 01 bộ bằng tiếng Việt. Đối với thành phần hồ sơ là bản sao, tổ chức tín dụng là hợp tác xã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https://thutuc.dichvucong.gov.vn/p/home/dvc-tthc-thu-tuc-hanh-chinh-chi-tiet.html?ma_thu_tuc=2400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2025-11-27T15:50:38Z</dcterms:created>
  <dc:creator>Apache POI</dc:creator>
</cp:coreProperties>
</file>