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trực tiếp chi phí khám, chữa bệnh BHYT/Cấp giấy chứng nhận không cùng chi trả trong năm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BHYT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và nộp hồ sơ</w:t>
      </w:r>
    </w:p>
    <w:p>
      <w:pPr>
        <w:spacing w:after="0" w:before="0" w:lineRule="auto" w:line="276"/>
        <w:jc w:val="both"/>
      </w:pPr>
      <w:r>
        <w:rPr>
          <w:rFonts w:ascii="Times New Roman" w:hAnsi="Times New Roman" w:cs="Times New Roman" w:eastAsia="Times New Roman"/>
          <w:b w:val="false"/>
          <w:sz w:val="26"/>
        </w:rPr>
        <w:t>Người bệnh hoặc thân nhân hoặc người đại diện hợp pháp theo quy định của pháp luật của người bệnh lập hồ sơ đề nghị thanh toán theo quy định tại mục 3.3 (Thành phần hồ sơ); nộp hồ sơ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và thụ lý hồ sơ</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 Đối với trường hợp đề nghị thanh toán: nhận tiền theo phương thức đã đăng ký khi nộp hồ sơ. Trường hợp không được thanh toán: Văn bản nêu lý do không thanh toán của cơ quan BHXH.</w:t>
      </w:r>
    </w:p>
    <w:p>
      <w:pPr>
        <w:spacing w:after="0" w:before="0" w:lineRule="auto" w:line="276"/>
        <w:jc w:val="both"/>
      </w:pPr>
      <w:r>
        <w:rPr>
          <w:rFonts w:ascii="Times New Roman" w:hAnsi="Times New Roman" w:cs="Times New Roman" w:eastAsia="Times New Roman"/>
          <w:b w:val="false"/>
          <w:sz w:val="26"/>
        </w:rPr>
        <w:t>- Đối với trường hợp đề nghị cấp Giấy chứng nhận không cùng chi trả trong năm: nhận Giấy chứng nhận. Trường hợp không được cấp giấy chứng nhận, cơ quan BHXH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trực tuyến hoặc trực tiếp tại cơ quan BHXH hoặc qua dịch vụ bưu chính công ích.
2. Nhận kết quả:
a) Đối với kết quả là văn bản: thông qua dịch vụ bưu chính công ích hoặc trực tiếp tại Bộ phận Một cửa của cơ quan BHXH.
b) Đối với kết quả là tiền mặt: nhận tại Phòng/bộ phận Tài chính - Kế toán thuộc cơ quan BHXH.
- Người hưởng chế độ trực tiếp nhận: Cung cấp giấy hẹn và xuất trình thẻ căn cước công dân/thẻ căn cước hoặc Căn cước điện tử (thông qua việc truy cập vào tài khoản định danh điện tử mức độ 02 của công dân) hoặc Chứng minh nhân dân còn giá trị sử dụng. 
- Trường hợp nhận thay:
+ Nếu là thân nhân hoặc người giám hộ: Cung cấp giấy hẹn và xuất trình thẻ căn cước công dân/thẻ căn cước hoặc Căn cước điện tử hoặc Chứng minh nhân dân còn giá trị sử dụng; cung cấp giấy tờ chứng minh mối quan hệ là thân nhân/người giám hộ đương nhiên của người hưởng BHYT (bản sao hoặc bản chụp kèm bản chính để đối chiếu Giấy khai sinh hoặc Giấy chứng sinh hoặc Giấy đăng ký kết hôn...). 
Trong trường hợp không có người giám hộ đương nhiên theo quy định của pháp luật thì cung cấp giấy hẹn; xuất trình thẻ căn cước công dân/thẻ căn cước hoặc Căn cước điện tử hoặc Chứng minh nhân dân còn giá trị sử dụng; cung cấp quyết định công nhận việc giám hộ của cấp có thẩm quyền (bản sao hợp lệ hoặc bản chụp kèm bản chính để đối chiếu).
+ Nếu không phải là thân nhân hoặc người giám hộ nêu trên: cung cấp Giấy Tiếp nhận hồ sơ và hẹn trả kết quả; thẻ căn cước công dân/thẻ căn cước hoặc Căn cước điện tử hoặc Chứng minh nhân dân còn giá trị sử dụng; Giấy ủy quyền (Mẫu số 13-HSB).</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trực tuyến hoặc trực tiếp tại cơ quan BHXH hoặc qua dịch vụ bưu chính công ích.
2. Nhận kết quả:
a) Đối với kết quả là văn bản: thông qua dịch vụ bưu chính công ích hoặc trực tiếp tại Bộ phận Một cửa của cơ quan BHXH.
b) Đối với kết quả là tiền mặt: nhận tại Phòng/bộ phận Tài chính - Kế toán thuộc cơ quan BHXH.
- Người hưởng chế độ trực tiếp nhận: Cung cấp giấy hẹn và xuất trình thẻ căn cước công dân/thẻ căn cước hoặc Căn cước điện tử (thông qua việc truy cập vào tài khoản định danh điện tử mức độ 02 của công dân) hoặc Chứng minh nhân dân còn giá trị sử dụng. 
- Trường hợp nhận thay:
+ Nếu là thân nhân hoặc người giám hộ: Cung cấp giấy hẹn và xuất trình thẻ căn cước công dân/thẻ căn cước hoặc Căn cước điện tử hoặc Chứng minh nhân dân còn giá trị sử dụng; cung cấp giấy tờ chứng minh mối quan hệ là thân nhân/người giám hộ đương nhiên của người hưởng BHYT (bản sao hoặc bản chụp kèm bản chính để đối chiếu Giấy khai sinh hoặc Giấy chứng sinh hoặc Giấy đăng ký kết hôn...). 
Trong trường hợp không có người giám hộ đương nhiên theo quy định của pháp luật thì cung cấp giấy hẹn; xuất trình thẻ căn cước công dân/thẻ căn cước hoặc Căn cước điện tử hoặc Chứng minh nhân dân còn giá trị sử dụng; cung cấp quyết định công nhận việc giám hộ của cấp có thẩm quyền (bản sao hợp lệ hoặc bản chụp kèm bản chính để đối chiếu).
+ Nếu không phải là thân nhân hoặc người giám hộ nêu trên: cung cấp Giấy Tiếp nhận hồ sơ và hẹn trả kết quả; thẻ căn cước công dân/thẻ căn cước hoặc Căn cước điện tử hoặc Chứng minh nhân dân còn giá trị sử dụng; Giấy ủy quyền (Mẫu số 13-HSB).</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trực tuyến hoặc trực tiếp tại cơ quan BHXH hoặc qua dịch vụ bưu chính công ích.
2. Nhận kết quả:
a) Đối với kết quả là văn bản: thông qua dịch vụ bưu chính công ích hoặc trực tiếp tại Bộ phận Một cửa của cơ quan BHXH.
b) Đối với kết quả là tiền mặt: nhận tại Phòng/bộ phận Tài chính - Kế toán thuộc cơ quan BHXH.
- Người hưởng chế độ trực tiếp nhận: Cung cấp giấy hẹn và xuất trình thẻ căn cước công dân/thẻ căn cước hoặc Căn cước điện tử (thông qua việc truy cập vào tài khoản định danh điện tử mức độ 02 của công dân) hoặc Chứng minh nhân dân còn giá trị sử dụng. 
- Trường hợp nhận thay:
+ Nếu là thân nhân hoặc người giám hộ: Cung cấp giấy hẹn và xuất trình thẻ căn cước công dân/thẻ căn cước hoặc Căn cước điện tử hoặc Chứng minh nhân dân còn giá trị sử dụng; cung cấp giấy tờ chứng minh mối quan hệ là thân nhân/người giám hộ đương nhiên của người hưởng BHYT (bản sao hoặc bản chụp kèm bản chính để đối chiếu Giấy khai sinh hoặc Giấy chứng sinh hoặc Giấy đăng ký kết hôn...). 
Trong trường hợp không có người giám hộ đương nhiên theo quy định của pháp luật thì cung cấp giấy hẹn; xuất trình thẻ căn cước công dân/thẻ căn cước hoặc Căn cước điện tử hoặc Chứng minh nhân dân còn giá trị sử dụng; cung cấp quyết định công nhận việc giám hộ của cấp có thẩm quyền (bản sao hợp lệ hoặc bản chụp kèm bản chính để đối chiếu).
+ Nếu không phải là thân nhân hoặc người giám hộ nêu trên: cung cấp Giấy Tiếp nhận hồ sơ và hẹn trả kết quả; thẻ căn cước công dân/thẻ căn cước hoặc Căn cước điện tử hoặc Chứng minh nhân dân còn giá trị sử dụng; Giấy ủy quyền (Mẫu số 13-HSB).</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1. Đối với việc thanh toán trực tiếp chi phí KCB</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Bản chụp các giấy tờ sau (kèm bản chính để đối chiếu trong trường hợp nộp trực tiếp): + Thẻ BHYT và một trong các giấy tờ chứng minh về nhân thân có ảnh hợp lệ trong trường hợp thẻ BHYT chưa có ảnh (thẻ căn cước công dân/thẻ căn cước hoặc Chứng minh nhân dân còn giá trị sử dụng, Hộ chiếu, Thẻ Đảng viên, Thẻ Công an nhân dân, Thẻ quân nhân, Thẻ đoàn viên công đoàn, Thẻ học sinh, Thẻ sinh viên, Thẻ cựu chiến binh, Giấy phép lái xe hoặc một loại giấy tờ có ảnh hợp lệ khác); Giấy khai sinh, Giấy chứng sinh trong trường hợp trẻ em dưới 6 tuổi chưa có thẻ BHYT; + Giấy ra viện, phiếu khám bệnh hoặc sổ khám bệnh của lần KCB đề nghị thanh toán.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chính: các hóa đơn, biên lai thu viện phí và các chứng từ liên quan khác. - Trong trường hợp người tham gia BHYT có nhu cầu sử dụng Hóa đơn, Biên lai bản chính vào mục đích khác, bộ phận một cửa của cơ quan BHXH chụp Hóa đơn, Biên lai và ký xác nhận trên bản chụp, trả bản chính cho người tham gia BHYT;  - Trường hợp người tham gia BHYT làm thất lạc Hóa đơn, Biên lai bản chính thì nộp bản chụp Hóa đơn, Biên lai hoặc bản chụp Hóa đơn, Biên lai có xác nhận của cơ sở khám bệnh, chữa bệnh nơi người có thẻ BHYT khám bệnh, chữa bệnh hoặc Bảng kê chi phí khám bệnh, chữa bệnh (theo Mẫu số 01/KBCB ban hành kèm theo Quyết định số 6556/QĐ-BYT ngày 30/10/2018 của Bộ Y tế); - Trong trường hồ sơ nộp qua dịch vụ bưu chính công ích hoặc qua hình thức trực tuyến là bản sao thì khi nhận kết quả phải xuất trình bản chính hoặc bản chụp có xác nhận của cơ sở KCB để đối chiếu.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2. Trường hợp đề nghị cấp giấy chứng nhận không cùng chi trả trong năm (có hoặc không kèm theo việc thanh toán trực tiếp chi phí KCB BHYT)</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tương tự như khoản 1 của mục 3.3 (Thành phần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Nhận tiền thanh toán chi phí KCB theo phương thức đăng ký (chuyển khoản hoặc nhận tiền mặt tại Phòng/bộ phận Tài chính - Kế toán của cơ quan BHXH), Giấy chứng nhận không cùng chi trả trong năm (nếu có đủ điều kiện), Trường hợp không được thanh toán hoặc không được cấp giấy Chứng nhận không cùng chi trả trong năm: nhận văn bản trả lời của cơ quan BHXH có nêu rõ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46/2014/QH13</w:t>
            </w:r>
          </w:p>
        </w:tc>
        <w:tc>
          <w:p/>
          <w:p>
            <w:pPr>
              <w:spacing w:after="0" w:before="0" w:lineRule="auto" w:line="276"/>
              <w:jc w:val="left"/>
            </w:pPr>
            <w:r>
              <w:rPr>
                <w:rFonts w:ascii="Times New Roman" w:hAnsi="Times New Roman" w:cs="Times New Roman" w:eastAsia="Times New Roman"/>
                <w:b w:val="false"/>
                <w:sz w:val="26"/>
              </w:rPr>
              <w:t>46/2014/QH13 Sửa đổi, bổ sung một số điều của Luật Bảo hiểm y tế</w:t>
            </w:r>
          </w:p>
        </w:tc>
        <w:tc>
          <w:p/>
          <w:p>
            <w:pPr>
              <w:spacing w:after="0" w:before="0" w:lineRule="auto" w:line="276"/>
              <w:jc w:val="left"/>
            </w:pPr>
            <w:r>
              <w:rPr>
                <w:rFonts w:ascii="Times New Roman" w:hAnsi="Times New Roman" w:cs="Times New Roman" w:eastAsia="Times New Roman"/>
                <w:b w:val="false"/>
                <w:sz w:val="26"/>
              </w:rPr>
              <w:t>13-06-2014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25/2008/QH12</w:t>
            </w:r>
          </w:p>
        </w:tc>
        <w:tc>
          <w:p/>
          <w:p>
            <w:pPr>
              <w:spacing w:after="0" w:before="0" w:lineRule="auto" w:line="276"/>
              <w:jc w:val="left"/>
            </w:pPr>
            <w:r>
              <w:rPr>
                <w:rFonts w:ascii="Times New Roman" w:hAnsi="Times New Roman" w:cs="Times New Roman" w:eastAsia="Times New Roman"/>
                <w:b w:val="false"/>
                <w:sz w:val="26"/>
              </w:rPr>
              <w:t>Luật 25/2008/QH12</w:t>
            </w:r>
          </w:p>
        </w:tc>
        <w:tc>
          <w:p/>
          <w:p>
            <w:pPr>
              <w:spacing w:after="0" w:before="0" w:lineRule="auto" w:line="276"/>
              <w:jc w:val="left"/>
            </w:pPr>
            <w:r>
              <w:rPr>
                <w:rFonts w:ascii="Times New Roman" w:hAnsi="Times New Roman" w:cs="Times New Roman" w:eastAsia="Times New Roman"/>
                <w:b w:val="false"/>
                <w:sz w:val="26"/>
              </w:rPr>
              <w:t>14-11-2008</w:t>
            </w:r>
          </w:p>
        </w:tc>
        <w:tc>
          <w:p/>
        </w:tc>
      </w:tr>
      <w:tr>
        <w:tc>
          <w:p/>
          <w:p>
            <w:pPr>
              <w:spacing w:after="0" w:before="0" w:lineRule="auto" w:line="276"/>
              <w:jc w:val="left"/>
            </w:pPr>
            <w:r>
              <w:rPr>
                <w:rFonts w:ascii="Times New Roman" w:hAnsi="Times New Roman" w:cs="Times New Roman" w:eastAsia="Times New Roman"/>
                <w:b w:val="false"/>
                <w:sz w:val="26"/>
              </w:rPr>
              <w:t>146/2018/NĐ-CP</w:t>
            </w:r>
          </w:p>
        </w:tc>
        <w:tc>
          <w:p/>
          <w:p>
            <w:pPr>
              <w:spacing w:after="0" w:before="0" w:lineRule="auto" w:line="276"/>
              <w:jc w:val="left"/>
            </w:pPr>
            <w:r>
              <w:rPr>
                <w:rFonts w:ascii="Times New Roman" w:hAnsi="Times New Roman" w:cs="Times New Roman" w:eastAsia="Times New Roman"/>
                <w:b w:val="false"/>
                <w:sz w:val="26"/>
              </w:rPr>
              <w:t>Nghị định 146/2018/NĐ-CP</w:t>
            </w:r>
          </w:p>
        </w:tc>
        <w:tc>
          <w:p/>
          <w:p>
            <w:pPr>
              <w:spacing w:after="0" w:before="0" w:lineRule="auto" w:line="276"/>
              <w:jc w:val="left"/>
            </w:pPr>
            <w:r>
              <w:rPr>
                <w:rFonts w:ascii="Times New Roman" w:hAnsi="Times New Roman" w:cs="Times New Roman" w:eastAsia="Times New Roman"/>
                <w:b w:val="false"/>
                <w:sz w:val="26"/>
              </w:rPr>
              <w:t>17-10-2018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2025-11-27T16:41:24Z</dcterms:created>
  <dc:creator>Apache POI</dc:creator>
</cp:coreProperties>
</file>