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ngân khoản vốn hỗ trợ cho doanh nghiệp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vào nông nghiệp, nông thôn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nộp hồ sơ đề nghị giải ngân vốn hỗ trợ cho Kho bạc Nhà nước cấp tỉnh nơi thực hiện dự án đầu tư.
</w:t>
      </w:r>
    </w:p>
    <w:p>
      <w:pPr>
        <w:spacing w:after="0" w:before="0" w:lineRule="auto" w:line="276"/>
        <w:jc w:val="both"/>
      </w:pPr>
      <w:r>
        <w:rPr>
          <w:rFonts w:ascii="Times New Roman" w:hAnsi="Times New Roman" w:cs="Times New Roman" w:eastAsia="Times New Roman"/>
          <w:b w:val="false"/>
          <w:sz w:val="26"/>
        </w:rPr>
        <w:t>- Bước 2: Trong thời hạn 05 ngày làm việc Kho bạc Nhà nước cấp tỉnh giải ngân khoản vốn hỗ trợ theo đề nghị của doanh nghiệp.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05 ngày làm việc Kho bạc Nhà nước cấp tỉnh giải ngân khoản vốn hỗ trợ theo đề nghị của doanh nghiệp.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Nộp hồ sơ trực tiếp Kho bạc nhà nước cấp tỉnh.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giải ngân của doanh nghiệp theo mẫu số 06, quy định tại Phụ lục II ban hành kèm theo Nghị định 57/2018/NĐ-CP.	</w:t>
            </w:r>
          </w:p>
        </w:tc>
        <w:tc>
          <w:p/>
          <w:p>
            <w:pPr>
              <w:spacing w:after="0" w:before="0" w:lineRule="auto" w:line="276"/>
              <w:jc w:val="left"/>
            </w:pPr>
            <w:r>
              <w:rPr>
                <w:rFonts w:ascii="Times New Roman" w:hAnsi="Times New Roman" w:cs="Times New Roman" w:eastAsia="Times New Roman"/>
                <w:b w:val="false"/>
                <w:sz w:val="26"/>
              </w:rPr>
              <w:t>Mau so 6_ND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nghiệm thu hạng mục đầu tư hoặc toàn bộ dự án đã được cam kết vốn hỗ trợ.	</w:t>
            </w:r>
          </w:p>
        </w:tc>
        <w:tc>
          <w:p/>
          <w:p>
            <w:pPr>
              <w:spacing w:after="0" w:before="0" w:lineRule="auto" w:line="276"/>
              <w:jc w:val="left"/>
            </w:pPr>
            <w:r>
              <w:rPr>
                <w:rFonts w:ascii="Times New Roman" w:hAnsi="Times New Roman" w:cs="Times New Roman" w:eastAsia="Times New Roman"/>
                <w:b w:val="false"/>
                <w:sz w:val="26"/>
              </w:rPr>
              <w:t>Mau so 5_ND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giao vốn hàng năm hoặc bổ sung cho dự án của cơ quan nhà nước có thẩm quyền (Ủy ban nhân dân cấp tỉnh đối với nguồn vốn từ ngân sách địa phương, Bộ Kế hoạch và Đầu tư đối với nguồn vốn từ ngân sách trung ương).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Kho bạc Nhà nước - Bộ tài chính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Khoản hỗ trợ của nhà nước cho doanh nghiệp được chuyển vào tài khoản của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57/2018/NĐ-CP	</w:t>
            </w:r>
          </w:p>
        </w:tc>
        <w:tc>
          <w:p/>
          <w:p>
            <w:pPr>
              <w:spacing w:after="0" w:before="0" w:lineRule="auto" w:line="276"/>
              <w:jc w:val="left"/>
            </w:pPr>
            <w:r>
              <w:rPr>
                <w:rFonts w:ascii="Times New Roman" w:hAnsi="Times New Roman" w:cs="Times New Roman" w:eastAsia="Times New Roman"/>
                <w:b w:val="false"/>
                <w:sz w:val="26"/>
              </w:rPr>
              <w:t>Về cơ chế, chính sách khuyến khích doanh nghiệp đầu tư vào nông nghiệp, nông thôn</w:t>
            </w:r>
          </w:p>
        </w:tc>
        <w:tc>
          <w:p/>
          <w:p>
            <w:pPr>
              <w:spacing w:after="0" w:before="0" w:lineRule="auto" w:line="276"/>
              <w:jc w:val="left"/>
            </w:pPr>
            <w:r>
              <w:rPr>
                <w:rFonts w:ascii="Times New Roman" w:hAnsi="Times New Roman" w:cs="Times New Roman" w:eastAsia="Times New Roman"/>
                <w:b w:val="false"/>
                <w:sz w:val="26"/>
              </w:rPr>
              <w:t>17-04-2018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Giải ngân, khoản vốn, hỗ trợ cho doanh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2025-11-27T16:41:29Z</dcterms:created>
  <dc:creator>Apache POI</dc:creator>
</cp:coreProperties>
</file>