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chế độ ốm đau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1. NLĐ: lập hồ sơ theo quy định tại mục Thành phần hồ sơ và nộp cho đơn vị SDLĐ.</w:t>
      </w:r>
    </w:p>
    <w:p>
      <w:pPr>
        <w:spacing w:after="0" w:before="0" w:lineRule="auto" w:line="276"/>
        <w:jc w:val="both"/>
      </w:pPr>
      <w:r>
        <w:rPr>
          <w:rFonts w:ascii="Times New Roman" w:hAnsi="Times New Roman" w:cs="Times New Roman" w:eastAsia="Times New Roman"/>
          <w:b w:val="false"/>
          <w:sz w:val="26"/>
        </w:rPr>
        <w:t>2. Đơn vị SDLĐ: tiếp nhận hồ sơ từ NLĐ; lập Danh sách đề nghị giải quyết hưởng chế độ ốm đau, thai sản, DSPHSK (mẫu số 01B-HSB) trong thời hạn 10 ngày kể từ ngày nhận đủ hồ sơ theo quy định; nộp cho cơ quan BHXH nơi đơn vị SDLĐ đóng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1. Đơn vị SDLĐ: nhận Danh sách giải quyết hưởng chế độ ốm đau, thai sản, DSPHSK và tiền trợ cấp.</w:t>
      </w:r>
    </w:p>
    <w:p>
      <w:pPr>
        <w:spacing w:after="0" w:before="0" w:lineRule="auto" w:line="276"/>
        <w:jc w:val="both"/>
      </w:pPr>
      <w:r>
        <w:rPr>
          <w:rFonts w:ascii="Times New Roman" w:hAnsi="Times New Roman" w:cs="Times New Roman" w:eastAsia="Times New Roman"/>
          <w:b w:val="false"/>
          <w:sz w:val="26"/>
        </w:rPr>
        <w:t>2. NLĐ: nhận tiền trợ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a) NLĐ nộp hồ sơ trực tiếp cho đơn vị SDLĐ;
b) Đơn vị SDLĐ nộp hồ sơ trực tiếp tại cơ quan BHXH.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 Thông qua đơn vị SDLĐ.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a) NLĐ nộp hồ sơ trực tiếp cho đơn vị SDLĐ;
b) Đơn vị SDLĐ nộp hồ sơ cho cơ quan BHXH qua giao dịch điện tử: đơn vị SDLĐ lập hồ sơ điện tử, ký số và gửi lên Cổng Thông tin điện tử BHXH Việt Nam hoặc qua tổ chức I-VAN; nếu chưa chuyển đổi hồ sơ giấy sang dạng điện tử thì gửi hồ sơ giấy đến cơ quan BHXH qua dịch vụ bưu chính công ích.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 Thông qua đơn vị SDLĐ.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a) NLĐ nộp hồ sơ trực tiếp cho đơn vị SDLĐ;
b) Đơn vị SDLĐ nộp hồ sơ cho cơ quan BHXH qua dịch vụ bưu chính công ích;
2. Nhận kết quả
a) Đơn vị SDLĐ: 
- Hồ sơ, giấy tờ: Theo hình thức đăng ký nhận hồ sơ (tại cơ quan BHXH/Trung tâm phục vụ HCC các cấp hoặc thông qua dịch vụ bưu chính công ích hoặc qua giao dịch điện tử);
- Nhận tiền trợ cấp cơ quan BHXH chuyển qua tài khoản của đơn vị để chi trả cho NLĐ đăng ký nhận bằng tiền mặt tại đơn vị SDLĐ.
b) NLĐ nhận tiền trợ cấp bằng một trong các hình thức sau:
- Thông qua tài khoản cá nhân;
- Bằng tiền mặt tại cơ quan BHXH trong trường hợp chưa nhận tại đơn vị mà đơn vị đã chuyển lại kinh phí cho cơ quan BHXH;
- Thông qua đơn vị SDLĐ.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NLĐ (Trường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1.1. Trường hợp điều trị nội trú: 1.1.1. Bản sao Giấy ra viện của NLĐ hoặc của con NLĐ dưới 7 tuổi. Trường hợp người bệnh tử vong tại cơ sở khám bệnh, chữa bệnh thì thay bằng bản sao Giấy báo tử; trường hợp Giấy báo tử không thể hiện thời gian vào viện thì bổ sung giấy tờ khác của cơ sở khám, chữa bệnh có thể hiện thời gian vào viện; 1.1.2. Trường hợp chuyển tuyến khám bệnh, chữa bệnh trong quá trình điều trị nội trú thì có thêm Bản sao Giấy chuyển tuyến hoặc Giấy chuyển viện.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1.2. Trường hợp điều trị ngoại trú:  Bản chính Giấy chứng nhận nghỉ việc hưởng BHXH. Trường hợp cả cha và mẹ đều nghỉ việc chăm con thì giấy chứng nhận nghỉ việc của một trong hai người là bản sao; hoặc giấy ra viện có chỉ định của y, bác sỹ điều trị cho nghỉ thêm sau thời gian điều trị nội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1.3. Trường hợp NLĐ hoặc con của NLĐ khám, chữa bệnh ở nước ngoài: Bản sao của bản dịch tiếng Việt giấy KCB do cơ sở KCB ở nước ngoài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Đối với đơn vị SDLĐ</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Danh sách đề nghị giải quyết hưởng chế độ ốm đau, thai sản, DSPHSK (mẫu 01B-HSB).</w:t>
            </w:r>
          </w:p>
        </w:tc>
        <w:tc>
          <w:p/>
          <w:p>
            <w:pPr>
              <w:spacing w:after="0" w:before="0" w:lineRule="auto" w:line="276"/>
              <w:jc w:val="left"/>
            </w:pPr>
            <w:r>
              <w:rPr>
                <w:rFonts w:ascii="Times New Roman" w:hAnsi="Times New Roman" w:cs="Times New Roman" w:eastAsia="Times New Roman"/>
                <w:b w:val="false"/>
                <w:sz w:val="26"/>
              </w:rPr>
              <w:t>Mu01B-HSB.docx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giải quyết hưởng chế độ ốm đau, thai sản, dưỡng sức, phục hồi sức khỏe., Tiền trợ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115/2015/NĐ-CP</w:t>
            </w:r>
          </w:p>
        </w:tc>
        <w:tc>
          <w:p/>
          <w:p>
            <w:pPr>
              <w:spacing w:after="0" w:before="0" w:lineRule="auto" w:line="276"/>
              <w:jc w:val="left"/>
            </w:pPr>
            <w:r>
              <w:rPr>
                <w:rFonts w:ascii="Times New Roman" w:hAnsi="Times New Roman" w:cs="Times New Roman" w:eastAsia="Times New Roman"/>
                <w:b w:val="false"/>
                <w:sz w:val="26"/>
              </w:rPr>
              <w:t>Nghị định 115/2015/NĐ-CP - Quy định chi tiết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11-11-2015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59/2015/TT-BLĐTBXH</w:t>
            </w:r>
          </w:p>
        </w:tc>
        <w:tc>
          <w:p/>
          <w:p>
            <w:pPr>
              <w:spacing w:after="0" w:before="0" w:lineRule="auto" w:line="276"/>
              <w:jc w:val="left"/>
            </w:pPr>
            <w:r>
              <w:rPr>
                <w:rFonts w:ascii="Times New Roman" w:hAnsi="Times New Roman" w:cs="Times New Roman" w:eastAsia="Times New Roman"/>
                <w:b w:val="false"/>
                <w:sz w:val="26"/>
              </w:rPr>
              <w:t>Thông tư 59/2015/TT-BLĐTBXH - Quy định chi tiết và hướng dẫn thi hành một số điều của Luật bảo hiểm xã hội về bảo hiểm xã hội bắt buộc</w:t>
            </w:r>
          </w:p>
        </w:tc>
        <w:tc>
          <w:p/>
          <w:p>
            <w:pPr>
              <w:spacing w:after="0" w:before="0" w:lineRule="auto" w:line="276"/>
              <w:jc w:val="left"/>
            </w:pPr>
            <w:r>
              <w:rPr>
                <w:rFonts w:ascii="Times New Roman" w:hAnsi="Times New Roman" w:cs="Times New Roman" w:eastAsia="Times New Roman"/>
                <w:b w:val="false"/>
                <w:sz w:val="26"/>
              </w:rPr>
              <w:t>29-12-2015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56/2017/TT-BYT</w:t>
            </w:r>
          </w:p>
        </w:tc>
        <w:tc>
          <w:p/>
          <w:p>
            <w:pPr>
              <w:spacing w:after="0" w:before="0" w:lineRule="auto" w:line="276"/>
              <w:jc w:val="left"/>
            </w:pPr>
            <w:r>
              <w:rPr>
                <w:rFonts w:ascii="Times New Roman" w:hAnsi="Times New Roman" w:cs="Times New Roman" w:eastAsia="Times New Roman"/>
                <w:b w:val="false"/>
                <w:sz w:val="26"/>
              </w:rPr>
              <w:t>Thông tư 56/2017/TT-BYT -   quy định chi tiết thi hành Luật bảo hiểm xã hội và Luật an toàn vệ sinh lao động thuộc lĩnh vực y tế</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46/2016/TT-BYT</w:t>
            </w:r>
          </w:p>
        </w:tc>
        <w:tc>
          <w:p/>
          <w:p>
            <w:pPr>
              <w:spacing w:after="0" w:before="0" w:lineRule="auto" w:line="276"/>
              <w:jc w:val="left"/>
            </w:pPr>
            <w:r>
              <w:rPr>
                <w:rFonts w:ascii="Times New Roman" w:hAnsi="Times New Roman" w:cs="Times New Roman" w:eastAsia="Times New Roman"/>
                <w:b w:val="false"/>
                <w:sz w:val="26"/>
              </w:rPr>
              <w:t>Thông tư 46/2016/TT-BYT</w:t>
            </w:r>
          </w:p>
        </w:tc>
        <w:tc>
          <w:p/>
          <w:p>
            <w:pPr>
              <w:spacing w:after="0" w:before="0" w:lineRule="auto" w:line="276"/>
              <w:jc w:val="left"/>
            </w:pPr>
            <w:r>
              <w:rPr>
                <w:rFonts w:ascii="Times New Roman" w:hAnsi="Times New Roman" w:cs="Times New Roman" w:eastAsia="Times New Roman"/>
                <w:b w:val="false"/>
                <w:sz w:val="26"/>
              </w:rPr>
              <w:t>30-12-2016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25 Luật BHXH, khoản 1,2 Điều 3 Thông tư số 59/2015/TT-BLĐTBXH.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2025-11-27T16:41:32Z</dcterms:created>
  <dc:creator>Apache POI</dc:creator>
</cp:coreProperties>
</file>