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chứng chỉ thẩm tra viên an toàn giao thông đường bộ</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Tổ chức có nhu cầu nộp hồ sơ đến Cơ quan chuyên môn thuộc Ủy ban nhân dân cấp tỉnh.</w:t>
      </w:r>
    </w:p>
    <w:p>
      <w:pPr>
        <w:spacing w:after="0" w:before="0" w:lineRule="auto" w:line="276"/>
        <w:jc w:val="both"/>
      </w:pPr>
      <w:r>
        <w:rPr>
          <w:rFonts w:ascii="Times New Roman" w:hAnsi="Times New Roman" w:cs="Times New Roman" w:eastAsia="Times New Roman"/>
          <w:b w:val="false"/>
          <w:sz w:val="26"/>
        </w:rPr>
        <w:t>b) Giải quyết TTHC:
Cơ quan chuyên môn thuộc Ủy ban nhân dân cấp tỉnh thực hiện tiếp nhận, kiểm tra hồ sơ và xử lý như sau:
-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
-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
- Trong thời hạn 10 ngày làm việc kể từ khi nhận đủ hồ sơ theo quy định, Cơ quan chuyên môn thuộc Ủy ban nhân dân cấp tỉnh tiến hành thẩm định hồ sơ, nếu đủ điều kiện, cấp chứng chỉ cho từng học viên. Trường hợp không cấp chứng chỉ,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cấp chứng chỉ (bản chính) theo quy định</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màu hoặc file ảnh điện tử định dạng JPG của mỗi học viên đề nghị cấp chứng chỉ (ảnh cỡ 4 cm x 6 cm), kiểu thẻ căn cước, chụp trong thời gian không quá 06 tháng)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công nhận kết quả thi của học viên tham gia khóa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thẩm tra viên an toàn giao thông đường bộ.</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165/2024/NĐ-CP</w:t>
            </w:r>
          </w:p>
        </w:tc>
        <w:tc>
          <w:p/>
          <w:p>
            <w:pPr>
              <w:spacing w:after="0" w:before="0" w:lineRule="auto" w:line="276"/>
              <w:jc w:val="left"/>
            </w:pPr>
            <w:r>
              <w:rPr>
                <w:rFonts w:ascii="Times New Roman" w:hAnsi="Times New Roman" w:cs="Times New Roman" w:eastAsia="Times New Roman"/>
                <w:b w:val="false"/>
                <w:sz w:val="26"/>
              </w:rPr>
              <w:t>Quy định chi tiết, hướng dẫn thi hành một số điều của Luật Đường bộ và Điều 77 Luật Trật tự, an toàn giao thông đường bộ.</w:t>
            </w:r>
          </w:p>
        </w:tc>
        <w:tc>
          <w:p/>
          <w:p>
            <w:pPr>
              <w:spacing w:after="0" w:before="0" w:lineRule="auto" w:line="276"/>
              <w:jc w:val="left"/>
            </w:pPr>
            <w:r>
              <w:rPr>
                <w:rFonts w:ascii="Times New Roman" w:hAnsi="Times New Roman" w:cs="Times New Roman" w:eastAsia="Times New Roman"/>
                <w:b w:val="false"/>
                <w:sz w:val="26"/>
              </w:rPr>
              <w:t>26-12-2024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144/2025/NĐ-CP</w:t>
            </w:r>
          </w:p>
        </w:tc>
        <w:tc>
          <w:p/>
          <w:p>
            <w:pPr>
              <w:spacing w:after="0" w:before="0" w:lineRule="auto" w:line="276"/>
              <w:jc w:val="left"/>
            </w:pPr>
            <w:r>
              <w:rPr>
                <w:rFonts w:ascii="Times New Roman" w:hAnsi="Times New Roman" w:cs="Times New Roman" w:eastAsia="Times New Roman"/>
                <w:b w:val="false"/>
                <w:sz w:val="26"/>
              </w:rPr>
              <w:t>quy định về phân quyền, phân cấp trong lĩnh vực quản lý nhà nước của Bộ Xây dựng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Học viên phải bảo đảm điều kiện quy định tại khoản 2 Điều 38 Nghị định số 165/2024/NĐ-CP ngày 26/12/2024 của Chính phủ quy định chi tiết, hướng dẫn thi hành một số điều của Luật Đường bộ và Điều 77 Luật Trật tự, an toàn giao thông đường bộ</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2025-11-27T16:41:50Z</dcterms:created>
  <dc:creator>Apache POI</dc:creator>
</cp:coreProperties>
</file>