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1.001699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970/QĐ-BYT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Xác định, xác định lại mức độ khuyết tật và cấp Giấy xác nhận khuyết tật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Bảo trợ xã hội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Khi có nhu cầu xác định, xác định lại mức độ khuyết tật thì người đề nghị hoặc người đại diện hợp pháp của người khuyết tật làm hồ sơ theo quy định tại Điều 4 Thông tư số 01/2019/TT-BLĐTBXH ngày 02 tháng 1 năm 2019 của Bộ trưởng Bộ Lao động - Thương binh và Xã hội quy định về việc xác định mức độ khuyết tật do Hội đồng xác định mức độ khuyết tật thực hiện (sau đây gọi tắt là Thông tư số 01/2019/TT-BLĐTBXH), riêng mẫu số 01 được sửa đổi, bổ sung tại Thông tư số 08/2023/TT-BLĐTBXH ngày 29/8/2023 của Bộ trưởng Bộ Lao động - Thương binh và Xã hội sửa đổi, bổ sung, bãi bỏ một số điều của các Thông tư, Thông tư liên tịch có quy định liên quan đến việc nộp, xuất trình sổ hộ khẩu giấy, sổ tạm trú giấy hoặc giấy tờ có yêu cầu xác nhận nơi cư trú khi thực hiện thủ tục hành chính thuộc lĩnh vực quản lý nhà nước của Bộ Lao động - Thương binh và Xã hội) (sau đây gọi tắt là Thông tư số 08/2023/TT-BLĐTBXH) gửi Chủ tịch Ủy ban nhân dân cấp xã nơi cư trú theo quy định của pháp luật.
Bước 2: Trong thời hạn 20 ngày làm việc, kể từ ngày nhận đơn đề nghị xác định mức độ khuyết tật, Chủ tịch Ủy ban nhân dân cấp xã có trách nhiệm:
1. Gửi văn bản tham khảo ý kiến cơ sở giáo dục về tình trạng khó khăn trong học tập, sinh hoạt, giao tiếp và kiến nghị về dạng khuyết tật, mức độ khuyết tật của người được xác định mức độ khuyết tật đang đi học theo Mẫu số 04 quy định tại Thông tư số 01/2019/TT-BLĐTBXH.
2. Triệu tập các thành viên, gửi thông báo về thời gian và địa điểm xác định mức độ khuyết tật cho người khuyết tật hoặc người đại diện hợp pháp của họ.
3. Tổ chức đánh giá dạng khuyết tật và mức độ khuyết tật đối với người khuyết tật theo phương pháp quy định tại Điều 3 và theo các mẫu số 02 hoặc mẫu số 03 của Thông tư số 01/2019/TT-BLĐTBXH (được sửa đổi, bổ sung tại Thông tư số 08/2023/TT-BLĐTBXH).
Việc thực hiện xác định mức độ khuyết tật được tiến hành tại Ủy ban nhân dân cấp xã hoặc Trạm y tế. Trường hợp người khuyết tật không thể đến được địa điểm quy định trên đây thì Hội đồng tiến hành quan sát và phỏng vấn người khuyết tật tại nơi cư trú của người khuyết tật.
Bước 3: Lập hồ sơ, biên bản kết luận dạng khuyết tật và mức độ khuyết tật của người được đánh giá theo Mẫu số 05 ban hành kèm Thông tư số 01/2019/TT-BLĐTBXH (được sửa đổi, bổ sung tại Thông tư số 08/2023/TT-BLĐTBXH). 
1. Riêng đối với trường hợp người khuyết tật đã có kết luận của Hội đồng Giám định y khoa về khả năng tự phục vụ, mức độ suy giảm khả năng lao động trước ngày 01/6/2012, Hội đồng xác định mức độ khuyết tật căn cứ kết luận của Hội đồng giám định y khoa để xác định mức độ khuyết tật theo quy định tại khoản 3 Điều 4 Nghị định số 28/2012/NĐ-CP của Chính phủ, cụ thể như sau: Người khuyết tật đặc biệt nặng khi được Hội đồng giám định y khoa kết luận không còn khả năng tự phục vụ hoặc suy giảm khả năng lao động từ 81% trở lên; Người khuyết tật nặng khi được Hội đồng giám định y khoa kết luận có khả năng tự phục vụ sinh hoạt nếu có người, phương tiện trợ giúp một phần hoặc suy giảm khả năng lao động từ 61% đến 80%; Người khuyết tật nhẹ khi được Hội đồng giám định y khoa kết luận có khả năng tự phục vụ sinh hoạt hoặc suy giảm khả năng lao động dưới 61%.
2. Đối với những trường hợp theo quy định tại khoản 2, Điều 15 Luật người khuyết tật (gồm: Hội đồng xác định mức độ khuyết tật không đưa ra được kết luận về mức độ khuyết tật; Người khuyết tật hoặc đại diện hợp pháp của người khuyết tật không đồng ý với kết luận của Hội đồng xác định mức độ khuyết tật; Có bằng chứng xác thực về việc xác định mức độ khuyết tật của Hội đồng xác định mức độ khuyết tật không khách quan, chính xác), thì Hội đồng cấp giấy giới thiệu và lập danh sách chuyển Hội đồng giám định y khoa thực hiện (qua Phòng Y tế).
Bước 4: Trong thời hạn 05 ngày làm việc, kể từ ngày có biên bản kết luận của Hội đồng về dạng khuyết tật và mức độ khuyết tật, Chủ tịch Ủy ban nhân cấp xã niêm yết, thông báo công khai kết luận của Hội đồng tại trụ sở Ủy ban nhân dân cấp xã và cấp Giấy xác nhận khuyết tật theo mẫu số 06 ban hành kèm Thông tư số 01/2019/TT-BLĐTBXH (được sửa đổi, bổ sung tại Thông tư số 08/2023/TT-BLĐTBXH). Trường hợp có khiếu nại, tố cáo hoặc không đồng ý với kết luận của Hội đồng thì trong thời hạn 05 ngày làm việc, Hội đồng tiến hành xác minh, thẩm tra, kết luận cụ thể và trả lời bằng văn bản cho người khiếu nại, tố cáo.
Đối với trường hợp do Hội đồng giám định y khoa xác định, kết luận về dạng khuyết tật và mức độ khuyết tật, trong thời hạn 05 ngày làm việc kể từ khi nhận được kết luận của Hội đồng Giám định y khoa, Chủ tịch Ủy ban nhân dân cấp xã cấp Giấy xác nhận khuyết tật theo mẫu số 06 ban hành kèm Thông tư số 01/2019/TT-BLĐTBXH (được sửa đổi, bổ sung tại Thông tư số 08/2023/TT-BLĐTBXH).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 Đối với trường hợp xác định lại khuyết tật</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theo Mẫu số 01 ban hành kèm Thông tư số 01/2019/TT-BLĐTBXH (được sửa đổi, bổ sung tại Thông tư số 08/2023/TT-BLĐTBXH).</w:t>
            </w:r>
          </w:p>
        </w:tc>
        <w:tc>
          <w:p/>
          <w:p>
            <w:pPr>
              <w:spacing w:after="0" w:before="0" w:lineRule="auto" w:line="276"/>
              <w:jc w:val="left"/>
            </w:pPr>
            <w:r>
              <w:rPr>
                <w:rFonts w:ascii="Times New Roman" w:hAnsi="Times New Roman" w:cs="Times New Roman" w:eastAsia="Times New Roman"/>
                <w:b w:val="false"/>
                <w:sz w:val="26"/>
              </w:rPr>
              <w:t>Mus01.docx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các giấy tờ liên quan đến khuyết tật (nếu có) như: bệnh án, giấy tờ khám, điều trị, phẫu thuật, Giấy xác nhận khuyết tật cũ hoặc các giấy tờ liên quan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trường hợp xác định khuyết tật</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theo Mẫu số 01 ban hành kèm Thông tư số 01/2019/TT-BLĐTBXH (được sửa đổi, bổ sung tại Thông tư số 08/2023/TT-BLĐTBXH).</w:t>
            </w:r>
          </w:p>
        </w:tc>
        <w:tc>
          <w:p/>
          <w:p>
            <w:pPr>
              <w:spacing w:after="0" w:before="0" w:lineRule="auto" w:line="276"/>
              <w:jc w:val="left"/>
            </w:pPr>
            <w:r>
              <w:rPr>
                <w:rFonts w:ascii="Times New Roman" w:hAnsi="Times New Roman" w:cs="Times New Roman" w:eastAsia="Times New Roman"/>
                <w:b w:val="false"/>
                <w:sz w:val="26"/>
              </w:rPr>
              <w:t>Mus01.docx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các giấy tờ liên quan đến khuyết tật (nếu có) như: bệnh án, giấy tờ khám, điều trị, phẫu thuật hoặc các giấy tờ liên quan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kết luận của Hội đồng Giám định y khoa về khả năng tự phục vụ, mức độ suy giảm khả năng lao động đối với trường hợp người khuyết tật đã có kết luận của Hội đồng Giám định y khoa trước ngày 01/6/2012.</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xã, phường, thị trấn.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Ủy ban nhân dân cấp xã nơi người khuyết tật cư trú</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khuyết tật (BYT)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28/2012/NĐ-CP</w:t>
            </w:r>
          </w:p>
        </w:tc>
        <w:tc>
          <w:p/>
          <w:p>
            <w:pPr>
              <w:spacing w:after="0" w:before="0" w:lineRule="auto" w:line="276"/>
              <w:jc w:val="left"/>
            </w:pPr>
            <w:r>
              <w:rPr>
                <w:rFonts w:ascii="Times New Roman" w:hAnsi="Times New Roman" w:cs="Times New Roman" w:eastAsia="Times New Roman"/>
                <w:b w:val="false"/>
                <w:sz w:val="26"/>
              </w:rPr>
              <w:t>28/2012/NĐ-CP - Quy định chi tiết và hướng dẫn thi hành một số điều của Luật Người khuyết tật</w:t>
            </w:r>
          </w:p>
        </w:tc>
        <w:tc>
          <w:p/>
          <w:p>
            <w:pPr>
              <w:spacing w:after="0" w:before="0" w:lineRule="auto" w:line="276"/>
              <w:jc w:val="left"/>
            </w:pPr>
            <w:r>
              <w:rPr>
                <w:rFonts w:ascii="Times New Roman" w:hAnsi="Times New Roman" w:cs="Times New Roman" w:eastAsia="Times New Roman"/>
                <w:b w:val="false"/>
                <w:sz w:val="26"/>
              </w:rPr>
              <w:t>10-04-2012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01/2019/TT-BLĐTBXH</w:t>
            </w:r>
          </w:p>
        </w:tc>
        <w:tc>
          <w:p/>
          <w:p>
            <w:pPr>
              <w:spacing w:after="0" w:before="0" w:lineRule="auto" w:line="276"/>
              <w:jc w:val="left"/>
            </w:pPr>
            <w:r>
              <w:rPr>
                <w:rFonts w:ascii="Times New Roman" w:hAnsi="Times New Roman" w:cs="Times New Roman" w:eastAsia="Times New Roman"/>
                <w:b w:val="false"/>
                <w:sz w:val="26"/>
              </w:rPr>
              <w:t>Quy định về việc xác định mức độ khuyết tật do Hội đồng xác định mức độ khuyết tật thực hiện</w:t>
            </w:r>
          </w:p>
        </w:tc>
        <w:tc>
          <w:p/>
          <w:p>
            <w:pPr>
              <w:spacing w:after="0" w:before="0" w:lineRule="auto" w:line="276"/>
              <w:jc w:val="left"/>
            </w:pPr>
            <w:r>
              <w:rPr>
                <w:rFonts w:ascii="Times New Roman" w:hAnsi="Times New Roman" w:cs="Times New Roman" w:eastAsia="Times New Roman"/>
                <w:b w:val="false"/>
                <w:sz w:val="26"/>
              </w:rPr>
              <w:t>02-01-2019</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51/2010/QH12</w:t>
            </w:r>
          </w:p>
        </w:tc>
        <w:tc>
          <w:p/>
          <w:p>
            <w:pPr>
              <w:spacing w:after="0" w:before="0" w:lineRule="auto" w:line="276"/>
              <w:jc w:val="left"/>
            </w:pPr>
            <w:r>
              <w:rPr>
                <w:rFonts w:ascii="Times New Roman" w:hAnsi="Times New Roman" w:cs="Times New Roman" w:eastAsia="Times New Roman"/>
                <w:b w:val="false"/>
                <w:sz w:val="26"/>
              </w:rPr>
              <w:t>Luật người khuyết tật</w:t>
            </w:r>
          </w:p>
        </w:tc>
        <w:tc>
          <w:p/>
          <w:p>
            <w:pPr>
              <w:spacing w:after="0" w:before="0" w:lineRule="auto" w:line="276"/>
              <w:jc w:val="left"/>
            </w:pPr>
            <w:r>
              <w:rPr>
                <w:rFonts w:ascii="Times New Roman" w:hAnsi="Times New Roman" w:cs="Times New Roman" w:eastAsia="Times New Roman"/>
                <w:b w:val="false"/>
                <w:sz w:val="26"/>
              </w:rPr>
              <w:t>17-06-2012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08/2023/TT-BLĐTBXH</w:t>
            </w:r>
          </w:p>
        </w:tc>
        <w:tc>
          <w:p/>
          <w:p>
            <w:pPr>
              <w:spacing w:after="0" w:before="0" w:lineRule="auto" w:line="276"/>
              <w:jc w:val="left"/>
            </w:pPr>
            <w:r>
              <w:rPr>
                <w:rFonts w:ascii="Times New Roman" w:hAnsi="Times New Roman" w:cs="Times New Roman" w:eastAsia="Times New Roman"/>
                <w:b w:val="false"/>
                <w:sz w:val="26"/>
              </w:rPr>
              <w:t>Sửa đổi, bổ sung, bãi bỏ một số điều của các Thông tư, Thông tư liên tịch có quy định liên quan đến việc nộp, xuất trình sổ hộ khẩu giấy, sổ tạm trú giấy hoặc giấy tờ có yêu cầu xác nhận nơi cư trú khi thực hiện thủ tục hành chính thuộc lĩnh vực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29-08-2023</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42/2025/NĐ-CP</w:t>
            </w:r>
          </w:p>
        </w:tc>
        <w:tc>
          <w:p/>
          <w:p>
            <w:pPr>
              <w:spacing w:after="0" w:before="0" w:lineRule="auto" w:line="276"/>
              <w:jc w:val="left"/>
            </w:pPr>
            <w:r>
              <w:rPr>
                <w:rFonts w:ascii="Times New Roman" w:hAnsi="Times New Roman" w:cs="Times New Roman" w:eastAsia="Times New Roman"/>
                <w:b w:val="false"/>
                <w:sz w:val="26"/>
              </w:rPr>
              <w:t>Nghị định số 42/2025/NĐ-CP của Chính phủ: Quy định chức năng, nhiệm vụ, quyền hạn và cơ cấu tổ chức của Bộ Y tế</w:t>
            </w:r>
          </w:p>
        </w:tc>
        <w:tc>
          <w:p/>
          <w:p>
            <w:pPr>
              <w:spacing w:after="0" w:before="0" w:lineRule="auto" w:line="276"/>
              <w:jc w:val="left"/>
            </w:pPr>
            <w:r>
              <w:rPr>
                <w:rFonts w:ascii="Times New Roman" w:hAnsi="Times New Roman" w:cs="Times New Roman" w:eastAsia="Times New Roman"/>
                <w:b w:val="false"/>
                <w:sz w:val="26"/>
              </w:rPr>
              <w:t>27-02-2025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https://thutuc.dichvucong.gov.vn/p/home/dvc-tthc-thu-tuc-hanh-chinh-chi-tiet.html?ma_thu_tuc=2476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2025-11-27T16:41:56Z</dcterms:created>
  <dc:creator>Apache POI</dc:creator>
</cp:coreProperties>
</file>