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điều chỉnh, hủy quyết định, chấm dứt hưởng BHXH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 Đơn vị SDLĐ lập hồ sơ theo quy định tại mục 14.3 (Thành phần hồ sơ) nộp cho cơ quan BHXH nơi đơn vị SDLĐ đóng BHXH.</w:t>
      </w:r>
    </w:p>
    <w:p>
      <w:pPr>
        <w:spacing w:after="0" w:before="0" w:lineRule="auto" w:line="276"/>
        <w:jc w:val="both"/>
      </w:pPr>
      <w:r>
        <w:rPr>
          <w:rFonts w:ascii="Times New Roman" w:hAnsi="Times New Roman" w:cs="Times New Roman" w:eastAsia="Times New Roman"/>
          <w:b w:val="false"/>
          <w:sz w:val="26"/>
        </w:rPr>
        <w:t>- NLĐ lập hồ sơ theo quy định tại mục 14.3 (Thành phần hồ sơ); nộp cho cơ quan BHXH nơi đang chi trả BHXH hàng tháng hoặc cơ quan BHXH (đối với trường hợp hưởng BHXH một lần).</w:t>
      </w:r>
    </w:p>
    <w:p>
      <w:pPr>
        <w:spacing w:after="0" w:before="0" w:lineRule="auto" w:line="276"/>
        <w:jc w:val="both"/>
      </w:pPr>
      <w:r>
        <w:rPr>
          <w:rFonts w:ascii="Times New Roman" w:hAnsi="Times New Roman" w:cs="Times New Roman" w:eastAsia="Times New Roman"/>
          <w:b w:val="false"/>
          <w:sz w:val="26"/>
        </w:rPr>
        <w:t>- Người đang hưởng BHXH hàng tháng hoặc thân nhân người hưởng BHXH hàng tháng chết đề nghị cập nhật thông tin nhân thân theo căn cước công dân: Lập hồ sơ theo quy định tại mục 14.3 (thành phần hồ sơ), nộp hồ sơ cho cơ quan BHXH nơi đang chi trả BHXH hàng tháng.</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 Đơn vị SDLĐ: Nhận hồ sơ, giấy tờ liên quan để trả cho NLĐ.</w:t>
      </w:r>
    </w:p>
    <w:p>
      <w:pPr>
        <w:spacing w:after="0" w:before="0" w:lineRule="auto" w:line="276"/>
        <w:jc w:val="both"/>
      </w:pPr>
      <w:r>
        <w:rPr>
          <w:rFonts w:ascii="Times New Roman" w:hAnsi="Times New Roman" w:cs="Times New Roman" w:eastAsia="Times New Roman"/>
          <w:b w:val="false"/>
          <w:sz w:val="26"/>
        </w:rPr>
        <w:t>- NLĐ: Nhận quyết định điều chỉnh, hủy quyết định hưởng hoặc chấm dứt hưởng; tiền truy lĩnh hoặc nộp tiền phải thu hồi (nếu có).</w:t>
      </w:r>
    </w:p>
    <w:p>
      <w:pPr>
        <w:spacing w:after="0" w:before="0" w:lineRule="auto" w:line="276"/>
        <w:jc w:val="both"/>
      </w:pPr>
      <w:r>
        <w:rPr>
          <w:rFonts w:ascii="Times New Roman" w:hAnsi="Times New Roman" w:cs="Times New Roman" w:eastAsia="Times New Roman"/>
          <w:b w:val="false"/>
          <w:sz w:val="26"/>
        </w:rPr>
        <w:t>- Người đang hưởng BHXH hàng tháng hoặc thân nhân người hưởng BHXH hàng tháng chết nhận: Xác nhận cập nhật thông tin nhân thân theo căn cước công dân (Mẫu 29-HSB).</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12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I. Thời hạn giải quyết:
Kể từ ngày cơ quan BHXH nhận đủ hồ sơ theo quy định:
a) Đối với chế độ TNLĐ, BNN: Tối đa 06 ngày làm việc.
b) Đối với lương hưu: Tối đa 12 ngày làm việc.
c) Đối với BHXH một lần, trợ cấp một lần đối với người đang hưởng chế độ hàng tháng ra nước ngoài để định cư: Tối đa 05 ngày làm việc.
d) Đối với chế độ tử tuất: Tối đa 08 ngày làm việc
II. Mô tả:
1. Nộp hồ sơ: Đơn vị SDLĐ và Người hưởng nộp hồ sơ trực tiếp tại cơ quan BHXH hoặc Trung tâm phục vụ HCC các cấp (nếu có).
2. Nhận kết quả: 
a) Đơn vị SDLĐ, NLĐ, Người đang hưởng BHXH hàng tháng hoặc thân nhân người hưởng BHXH hàng tháng chết đề nghị cập nhật thông tin nhân thân theo căn cước công dân: Nhận kết quả là hồ sơ giấy tờ theo hình thức đăng ký nhận hồ sơ (tại cơ quan BHXH/Trung tâm phục vụ HCC các cấp hoặc qua dịch vụ bưu chính công ích hoặc qua giao dịch điện tử).
b) NLĐ: 
- Nhận tiền truy lĩnh (nếu có) bằng một trong các hình thức:
+  Thông qua tài khoản cá nhân.
+ Bằng tiền mặt tại cơ quan BHXH
(Trường hợp ủy quyền cho người khác lĩnh thay, thực hiện theo quy định tại thủ tục “Ủy quyền lĩnh thay các chế độ BHXH, trợ cấp thất nghiệp” ban hành kèm theo Quyết định số 222/QĐ-BHXH ngày 25/02/2021 của BHXH Việt Nam)
- Nộp tiền phải thu hồi: Trực tiếp tại cơ quan BHXH hoặc chuyển tiền thông qua tài khoản của cơ quan BHXH.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12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I. Thời hạn giải quyết:
Kể từ ngày cơ quan BHXH nhận đủ hồ sơ theo quy định:
a) Đối với chế độ TNLĐ, BNN: Tối đa 06 ngày làm việc.
b) Đối với lương hưu: Tối đa 12 ngày làm việc.
c) Đối với BHXH một lần, trợ cấp một lần đối với người đang hưởng chế độ hàng tháng ra nước ngoài để định cư: Tối đa 05 ngày làm việc.
d) Đối với chế độ tử tuất: Tối đa 08 ngày làm việc
II. Mô tả:
1. Nộp hồ sơ: Đơn vị SDLĐ và Người hưởng nộp qua giao dịch điện tử: Trực tuyến (trường hợp hồ sơ giấy không chuyển đổi được sang hồ sơ điện tử thì đơn vị gửi hồ sơ giấy về cơ quan BHXH qua dịch vụ bưu chính).
2. Nhận kết quả: 
a) Đơn vị SDLĐ, NLĐ, Người đang hưởng BHXH hàng tháng hoặc thân nhân người hưởng BHXH hàng tháng chết đề nghị cập nhật thông tin nhân thân theo căn cước công dân: Nhận kết quả là hồ sơ giấy tờ theo hình thức đăng ký nhận hồ sơ (tại cơ quan BHXH/Trung tâm phục vụ HCC các cấp hoặc qua dịch vụ bưu chính công ích hoặc qua giao dịch điện tử).
b) NLĐ: 
- Nhận tiền truy lĩnh (nếu có) bằng một trong các hình thức:
+  Thông qua tài khoản cá nhân.
+ Bằng tiền mặt tại cơ quan BHXH
(Trường hợp ủy quyền cho người khác lĩnh thay, thực hiện theo quy định tại thủ tục “Ủy quyền lĩnh thay các chế độ BHXH, trợ cấp thất nghiệp” ban hành kèm theo Quyết định số 222/QĐ-BHXH ngày 25/02/2021 của BHXH Việt Nam)
- Nộp tiền phải thu hồi: Trực tiếp tại cơ quan BHXH hoặc chuyển tiền thông qua tài khoản của cơ quan BHXH.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12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I. Thời hạn giải quyết:
Kể từ ngày cơ quan BHXH nhận đủ hồ sơ theo quy định:
a) Đối với chế độ TNLĐ, BNN: Tối đa 06 ngày làm việc.
b) Đối với lương hưu: Tối đa 12 ngày làm việc.
c) Đối với BHXH một lần, trợ cấp một lần đối với người đang hưởng chế độ hàng tháng ra nước ngoài để định cư: Tối đa 05 ngày làm việc.
d) Đối với chế độ tử tuất: Tối đa 08 ngày làm việc
II. Mô tả:
1. Nộp hồ sơ: Đơn vị SDLĐ và Người hưởng nộp hồ sơ qua dịch vụ bưu chính công ích;
2. Nhận kết quả: 
a) Đơn vị SDLĐ, NLĐ, Người đang hưởng BHXH hàng tháng hoặc thân nhân người hưởng BHXH hàng tháng chết đề nghị cập nhật thông tin nhân thân theo căn cước công dân: Nhận kết quả là hồ sơ giấy tờ theo hình thức đăng ký nhận hồ sơ (tại cơ quan BHXH/Trung tâm phục vụ HCC các cấp hoặc qua dịch vụ bưu chính công ích hoặc qua giao dịch điện tử).
b) NLĐ: 
- Nhận tiền truy lĩnh (nếu có) bằng một trong các hình thức:
+  Thông qua tài khoản cá nhân.
+ Bằng tiền mặt tại cơ quan BHXH
(Trường hợp ủy quyền cho người khác lĩnh thay, thực hiện theo quy định tại thủ tục “Ủy quyền lĩnh thay các chế độ BHXH, trợ cấp thất nghiệp” ban hành kèm theo Quyết định số 222/QĐ-BHXH ngày 25/02/2021 của BHXH Việt Nam)
- Nộp tiền phải thu hồi: Trực tiếp tại cơ quan BHXH hoặc chuyển tiền thông qua tài khoản của cơ quan BHXH.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Bản chính Đơn đề nghị (mẫu số 14-HSB) trong trường hợp NLĐ có yêu cầu điều chỉnh</w:t>
            </w:r>
          </w:p>
        </w:tc>
        <w:tc>
          <w:p/>
          <w:p>
            <w:pPr>
              <w:spacing w:after="0" w:before="0" w:lineRule="auto" w:line="276"/>
              <w:jc w:val="left"/>
            </w:pPr>
            <w:r>
              <w:rPr>
                <w:rFonts w:ascii="Times New Roman" w:hAnsi="Times New Roman" w:cs="Times New Roman" w:eastAsia="Times New Roman"/>
                <w:b w:val="false"/>
                <w:sz w:val="26"/>
              </w:rPr>
              <w:t>14_HSB.docx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Hồ sơ, giấy tờ, văn bản làm căn cứ điều chỉnh, hủy quyết định hưởng hoặc chấm dứt hưởng BHXH.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chính Mẫu 2-CBH ban hành kèm theo Quyết định số 686/QĐ-BHXH trong trường hợp người đang hưởng BHXH hàng tháng hoặc thân nhân người hưởng BHXH hàng tháng chết đề nghị cập nhật thông tin nhân thân theo căn cước công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tỉnh, Công đoàn cơ quan BHXH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điều chỉnh chế độ BHXH, Quyết định về việc hủy quyết định hưởng chế độ BHXH, Quyết định về việc chấm dứt hưởng chế độ BHXH, Xác nhận cập nhật thông tin nhân thân theo căn cước công dân (Mẫu 29-HSB) trong trường hợp NLĐ có yêu cầu, Tiền truy lĩnh hoặc tiền phải nộp thu hồi (nếu có), Quyết định điều chỉnh, hủy quyết định hưởng hoặc chấm dứt hưởng (Các Mẫu: 6A-HSB, 6B-HSB, 6C-HSB)</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115/2015/NĐ-CP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11-11-2015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134/2015/NĐ-CP</w:t>
            </w:r>
          </w:p>
        </w:tc>
        <w:tc>
          <w:p/>
          <w:p>
            <w:pPr>
              <w:spacing w:after="0" w:before="0" w:lineRule="auto" w:line="276"/>
              <w:jc w:val="left"/>
            </w:pPr>
            <w:r>
              <w:rPr>
                <w:rFonts w:ascii="Times New Roman" w:hAnsi="Times New Roman" w:cs="Times New Roman" w:eastAsia="Times New Roman"/>
                <w:b w:val="false"/>
                <w:sz w:val="26"/>
              </w:rPr>
              <w:t>Nghị định 134/2015/NĐ-CP</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01/2016/TT-BLĐTBXH</w:t>
            </w:r>
          </w:p>
        </w:tc>
        <w:tc>
          <w:p/>
          <w:p>
            <w:pPr>
              <w:spacing w:after="0" w:before="0" w:lineRule="auto" w:line="276"/>
              <w:jc w:val="left"/>
            </w:pPr>
            <w:r>
              <w:rPr>
                <w:rFonts w:ascii="Times New Roman" w:hAnsi="Times New Roman" w:cs="Times New Roman" w:eastAsia="Times New Roman"/>
                <w:b w:val="false"/>
                <w:sz w:val="26"/>
              </w:rPr>
              <w:t>Thông tư 01/2016/TT-BLĐTBXH</w:t>
            </w:r>
          </w:p>
        </w:tc>
        <w:tc>
          <w:p/>
          <w:p>
            <w:pPr>
              <w:spacing w:after="0" w:before="0" w:lineRule="auto" w:line="276"/>
              <w:jc w:val="left"/>
            </w:pPr>
            <w:r>
              <w:rPr>
                <w:rFonts w:ascii="Times New Roman" w:hAnsi="Times New Roman" w:cs="Times New Roman" w:eastAsia="Times New Roman"/>
                <w:b w:val="false"/>
                <w:sz w:val="26"/>
              </w:rPr>
              <w:t>18-02-2016</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33/2016/NĐ-CP</w:t>
            </w:r>
          </w:p>
        </w:tc>
        <w:tc>
          <w:p/>
          <w:p>
            <w:pPr>
              <w:spacing w:after="0" w:before="0" w:lineRule="auto" w:line="276"/>
              <w:jc w:val="left"/>
            </w:pPr>
            <w:r>
              <w:rPr>
                <w:rFonts w:ascii="Times New Roman" w:hAnsi="Times New Roman" w:cs="Times New Roman" w:eastAsia="Times New Roman"/>
                <w:b w:val="false"/>
                <w:sz w:val="26"/>
              </w:rPr>
              <w:t>Nghị định 33/2016/NĐ-CP-Quy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tc>
        <w:tc>
          <w:p/>
          <w:p>
            <w:pPr>
              <w:spacing w:after="0" w:before="0" w:lineRule="auto" w:line="276"/>
              <w:jc w:val="left"/>
            </w:pPr>
            <w:r>
              <w:rPr>
                <w:rFonts w:ascii="Times New Roman" w:hAnsi="Times New Roman" w:cs="Times New Roman" w:eastAsia="Times New Roman"/>
                <w:b w:val="false"/>
                <w:sz w:val="26"/>
              </w:rPr>
              <w:t>10-05-2016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đã được giải quyết hưởng các chế độ BHXH; cơ quan, tổ chức, cá nhân, đơn vị SDLĐ có căn cứ đề nghị điều chỉnh.
- Người đang hưởng BHXH hàng tháng hoặc thân nhân người hưởng BHXH hàng tháng chết đề nghị cập nhật thông tin nhân thân theo căn cước công dân.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2025-11-27T16:42:05Z</dcterms:created>
  <dc:creator>Apache POI</dc:creator>
</cp:coreProperties>
</file>