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871/QĐ-BXD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chứng chỉ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Đường bộ</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 Cá nhân có nhu cầu nộp hồ sơ đến Cơ quan chuyên môn thuộc Ủy ban nhân dân cấp tỉnh.</w:t>
      </w:r>
    </w:p>
    <w:p>
      <w:pPr>
        <w:spacing w:after="0" w:before="0" w:lineRule="auto" w:line="276"/>
        <w:jc w:val="both"/>
      </w:pPr>
      <w:r>
        <w:rPr>
          <w:rFonts w:ascii="Times New Roman" w:hAnsi="Times New Roman" w:cs="Times New Roman" w:eastAsia="Times New Roman"/>
          <w:b w:val="false"/>
          <w:sz w:val="26"/>
        </w:rPr>
        <w:t>b) Giải quyết TTHC:
Cơ quan chuyên môn thuộc Ủy ban nhân dân cấp tỉnh thực hiện tiếp nhận, kiểm tra hồ sơ và xử lý như sau:
- Đối với trường hợp nộp trực tiếp, sau khi kiểm tra thành phần hồ sơ, nếu đúng quy định thì tiếp nhận hồ sơ và viết phiếu hẹn trả kết quả; hướng dẫn cá nhân hoàn thiện hồ sơ đối với trường hợp không đủ thành phần hồ sơ;
- Đối với trường hợp nộp gián tiếp, trong phạm vi 02 ngày làm việc kể từ ngày nhận được hồ sơ, kiểm tra thành phần hồ sơ, nếu không đủ thành phần hồ sơ có văn bản thông báo đến cá nhân để bổ sung, hoàn thiện;
- Trong thời hạn 05 ngày làm việc kể từ khi nhận đủ hồ sơ theo quy định, Cơ quan chuyên môn thuộc Ủy ban nhân dân cấp tỉnh tiến hành thẩm định hồ sơ, nếu đủ điều kiện, cấp lại chứng chỉ thẩm tra viên an toàn giao thông. Trường hợp không cấp lại chứng chỉ,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(bản chính) cấp lại chứng chỉ theo quy định</w:t>
            </w:r>
          </w:p>
        </w:tc>
        <w:tc>
          <w:p/>
          <w:p>
            <w:pPr>
              <w:spacing w:after="0" w:before="0" w:lineRule="auto" w:line="276"/>
              <w:jc w:val="left"/>
            </w:pPr>
            <w:r>
              <w:rPr>
                <w:rFonts w:ascii="Times New Roman" w:hAnsi="Times New Roman" w:cs="Times New Roman" w:eastAsia="Times New Roman"/>
                <w:b w:val="false"/>
                <w:sz w:val="26"/>
              </w:rPr>
              <w:t>Mucb.docx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chỉ cũ (trường hợp bị hư hỏng)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thẩm tra viên an toàn giao thông đường bộ.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165/2024/NĐ-CP</w:t>
            </w:r>
          </w:p>
        </w:tc>
        <w:tc>
          <w:p/>
          <w:p>
            <w:pPr>
              <w:spacing w:after="0" w:before="0" w:lineRule="auto" w:line="276"/>
              <w:jc w:val="left"/>
            </w:pPr>
            <w:r>
              <w:rPr>
                <w:rFonts w:ascii="Times New Roman" w:hAnsi="Times New Roman" w:cs="Times New Roman" w:eastAsia="Times New Roman"/>
                <w:b w:val="false"/>
                <w:sz w:val="26"/>
              </w:rPr>
              <w:t>Quy định chi tiết, hướng dẫn thi hành một số điều của Luật Đường bộ và Điều 77 Luật Trật tự, an toàn giao thông đường bộ.</w:t>
            </w:r>
          </w:p>
        </w:tc>
        <w:tc>
          <w:p/>
          <w:p>
            <w:pPr>
              <w:spacing w:after="0" w:before="0" w:lineRule="auto" w:line="276"/>
              <w:jc w:val="left"/>
            </w:pPr>
            <w:r>
              <w:rPr>
                <w:rFonts w:ascii="Times New Roman" w:hAnsi="Times New Roman" w:cs="Times New Roman" w:eastAsia="Times New Roman"/>
                <w:b w:val="false"/>
                <w:sz w:val="26"/>
              </w:rPr>
              <w:t>26-12-2024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Đáp ứng điều kiện quy định tại khoản 1 Điều 41 Nghị định số 165/2024/NĐ-CP ngày 26/12/2024 của Chính phủ quy định chi tiết, hướng dẫn thi hành một số điều của Luật Đường bộ và Điều 77 Luật Trật tự, an toàn giao thông đường bộ</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https://thutuc.dichvucong.gov.vn/p/home/dvc-tthc-thu-tuc-hanh-chinh-chi-tiet.html?ma_thu_tuc=2499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2025-11-27T16:42:07Z</dcterms:created>
  <dc:creator>Apache POI</dc:creator>
</cp:coreProperties>
</file>