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đổi 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có nhu cầu nộp hồ sơ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Cơ quan chuyên môn thuộc Ủy ban nhân dân cấp tỉnh thực hiện tiếp nhận, kiểm tra hồ sơ và xử lý như sau:
-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
- Đối với trường hợp nộp gián tiếp, trong phạm vi 02 ngày làm việc kể từ ngày nhận được hồ sơ, kiểm tra thành phần hồ sơ, nếu không đủ thành phần hồ sơ có văn bản thông báo đến cá nhân để bổ sung, hoàn thiện;
- Trong thời hạn 07 ngày làm việc kể từ khi nhận đủ hồ sơ theo quy định, Cơ quan chuyên môn thuộc Ủy ban nhân dân cấp tỉnh tiến hành thẩm định hồ sơ, nếu đủ điều kiện, cấp đổi chứng chỉ thẩm tra viên an toàn giao thông. Trường hợp không cấp chứng chỉ,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(bản chính) cấp đối chứng chỉ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khai kinh nghiệm (bản chính) thẩm tra, thẩm định an toàn giao thông đường bộ, thiết kế, thẩm định phê duyệt xử lý điểm hay xảy ra tai nạn giao thông, điểm tiềm ẩn tai nạn giao thông đường bộ (trong khoảng thời gian có hiệu lực của chứng chỉ xin cấp đổi); bản khai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màu hoặc file ảnh điện tử định dạng JPG của mỗi học viên đề nghị cấp chứng chỉ (ảnh cỡ 4 cm x 6 cm), kiểu thẻ căn cước, chụp trong thời gian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165/2024/NĐ-CP</w:t>
            </w:r>
          </w:p>
        </w:tc>
        <w:tc>
          <w:p/>
          <w:p>
            <w:pPr>
              <w:spacing w:after="0" w:before="0" w:lineRule="auto" w:line="276"/>
              <w:jc w:val="left"/>
            </w:pPr>
            <w:r>
              <w:rPr>
                <w:rFonts w:ascii="Times New Roman" w:hAnsi="Times New Roman" w:cs="Times New Roman" w:eastAsia="Times New Roman"/>
                <w:b w:val="false"/>
                <w:sz w:val="26"/>
              </w:rPr>
              <w:t>Quy định chi tiết, hướng dẫn thi hành một số điều của Luật Đường bộ và Điều 77 Luật Trật tự, an toàn giao thông đường bộ.</w:t>
            </w:r>
          </w:p>
        </w:tc>
        <w:tc>
          <w:p/>
          <w:p>
            <w:pPr>
              <w:spacing w:after="0" w:before="0" w:lineRule="auto" w:line="276"/>
              <w:jc w:val="left"/>
            </w:pPr>
            <w:r>
              <w:rPr>
                <w:rFonts w:ascii="Times New Roman" w:hAnsi="Times New Roman" w:cs="Times New Roman" w:eastAsia="Times New Roman"/>
                <w:b w:val="false"/>
                <w:sz w:val="26"/>
              </w:rPr>
              <w:t>26-12-2024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điều kiện quy định tại khoản 1 Điều 40 Nghị định số 165/2024/NĐ-CP ngày 26/12/2024 của Chính phủ quy định chi tiết, hướng dẫn thi hành một số điều của Luật Đường bộ và Điều 77 Luật Trật tự, an toàn giao thông đường bộ</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2025-11-27T16:42:10Z</dcterms:created>
  <dc:creator>Apache POI</dc:creator>
</cp:coreProperties>
</file>