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lưu hành tại Việt Nam cho phương tiện của Trung Quốc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nộp hồ sơ cho Sở Xây dựng các tỉnh, thành phố trực thuộc trung ương nơi phương tiện đang lưu hành.</w:t>
      </w:r>
    </w:p>
    <w:p>
      <w:pPr>
        <w:spacing w:after="0" w:before="0" w:lineRule="auto" w:line="276"/>
        <w:jc w:val="both"/>
      </w:pPr>
      <w:r>
        <w:rPr>
          <w:rFonts w:ascii="Times New Roman" w:hAnsi="Times New Roman" w:cs="Times New Roman" w:eastAsia="Times New Roman"/>
          <w:b w:val="false"/>
          <w:sz w:val="26"/>
        </w:rPr>
        <w:t>b) Giải quyết TTHC:
- Trong thời hạn 02 ngày làm việc, kể từ khi nhận đủ hồ sơ hợp lệ theo quy định, Sở Xây dựng thực hiện gia hạn thời gian lưu hành cho phương tiện của Trung Quốc. Trường hợp không gia hạn, Sở Xây dựng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phép vận tải đường bộ quốc tế giữa Việt Nam và Trung Quốc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gia hạn thời gian lưu hành của phương tiện tại Việt Nam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thời gian lưu hành của phương tiện tại Việt Nam cho phương tiện của Trung Quốc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2025-11-27T16:42:16Z</dcterms:created>
  <dc:creator>Apache POI</dc:creator>
</cp:coreProperties>
</file>