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tổ chức trại sáng tác điêu khắc (thẩm quyền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tổ chức trại sáng tác điêu khắc không có sự tham gia của tổ chức, cá nhân nước ngoài gửi trực tiếp hoặc qua đường bưu điện 01 bộ hồ sơ đề nghị cấp giấy phép tổ chức trại sáng tác điêu khắc đến Ủy ban nhân dân cấp tỉnh.</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đầy đủ hồ sơ hợp lệ, Ủy ban nhân dân cấp tỉnh cấp giấy phép, trường hợp không cấp giấy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07 ngày làm việc kể từ ngày nhận đầy đủ hồ sơ hợp lệ, Ủy ban nhân dân cấp tỉnh cấp giấy phép, trường hợp không cấp giấy phép phải có văn bản trả lời,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07 ngày làm việc kể từ ngày nhận đầy đủ hồ sơ hợp lệ, Ủy ban nhân dân cấp tỉnh cấp giấy phép, trường hợp không cấp giấy phép phải có văn bản trả lời,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(mẫu số 9 ban hành kèm theo Nghị định số 113/2013/NĐ-CP ngày 02 tháng 10 năm 2013 của Chính phủ về hoạt động mỹ thuật)</w:t>
            </w:r>
          </w:p>
        </w:tc>
        <w:tc>
          <w:p/>
          <w:p>
            <w:pPr>
              <w:spacing w:after="0" w:before="0" w:lineRule="auto" w:line="276"/>
              <w:jc w:val="left"/>
            </w:pPr>
            <w:r>
              <w:rPr>
                <w:rFonts w:ascii="Times New Roman" w:hAnsi="Times New Roman" w:cs="Times New Roman" w:eastAsia="Times New Roman"/>
                <w:b w:val="false"/>
                <w:sz w:val="26"/>
              </w:rPr>
              <w:t>Mẫu số 9.ND113.2013.điêu khắc.docx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được cấp có thẩm quyền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Thể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trại sáng tác điêu khắc hoặc văn bản trả lời không cấp giấy phép có nêu rõ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113/2013/NĐ-CP</w:t>
            </w:r>
          </w:p>
        </w:tc>
        <w:tc>
          <w:p/>
          <w:p>
            <w:pPr>
              <w:spacing w:after="0" w:before="0" w:lineRule="auto" w:line="276"/>
              <w:jc w:val="left"/>
            </w:pPr>
            <w:r>
              <w:rPr>
                <w:rFonts w:ascii="Times New Roman" w:hAnsi="Times New Roman" w:cs="Times New Roman" w:eastAsia="Times New Roman"/>
                <w:b w:val="false"/>
                <w:sz w:val="26"/>
              </w:rPr>
              <w:t>Về hoạt động mỹ thuật</w:t>
            </w:r>
          </w:p>
        </w:tc>
        <w:tc>
          <w:p/>
          <w:p>
            <w:pPr>
              <w:spacing w:after="0" w:before="0" w:lineRule="auto" w:line="276"/>
              <w:jc w:val="left"/>
            </w:pPr>
            <w:r>
              <w:rPr>
                <w:rFonts w:ascii="Times New Roman" w:hAnsi="Times New Roman" w:cs="Times New Roman" w:eastAsia="Times New Roman"/>
                <w:b w:val="false"/>
                <w:sz w:val="26"/>
              </w:rPr>
              <w:t>02-10-2013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quan, tổ chức Việt Nam đề nghị cấp giấy phép tổ chức trại sáng tác điêu khắc, phải đáp ứng các điều kiện sau:
- Có chức năng hoạt động văn hóa nghệ thuật;
- Có đề án được cấp có thẩm quyền phê duyệt;
- Có thể lệ tổ chức trại sáng tác điêu khắc.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2025-11-27T16:42:17Z</dcterms:created>
  <dc:creator>Apache POI</dc:creator>
</cp:coreProperties>
</file>