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1.001742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quyết chuyển hưởng sang địa bàn khác đối với người đang hưởng lương hưu, trợ cấp BHXH hàng tháng và người chờ hưởng lương hưu, trợ cấp hàng tháng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Thực hiện chính sách BHXH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nộp hồ sơ</w:t>
      </w:r>
    </w:p>
    <w:p>
      <w:pPr>
        <w:spacing w:after="0" w:before="0" w:lineRule="auto" w:line="276"/>
        <w:jc w:val="both"/>
      </w:pPr>
      <w:r>
        <w:rPr>
          <w:rFonts w:ascii="Times New Roman" w:hAnsi="Times New Roman" w:cs="Times New Roman" w:eastAsia="Times New Roman"/>
          <w:b w:val="false"/>
          <w:sz w:val="26"/>
        </w:rPr>
        <w:t>1. Người đang hưởng lương hưu, trợ cấp BHXH hàng tháng: lập hồ sơ theo quy định tại mục 13.3 (Thành phần hồ sơ) và nộp cho cơ quan BHXH nơi đang chi trả lương hưu, trợ cấp hàng tháng.</w:t>
      </w:r>
    </w:p>
    <w:p>
      <w:pPr>
        <w:spacing w:after="0" w:before="0" w:lineRule="auto" w:line="276"/>
        <w:jc w:val="both"/>
      </w:pPr>
      <w:r>
        <w:rPr>
          <w:rFonts w:ascii="Times New Roman" w:hAnsi="Times New Roman" w:cs="Times New Roman" w:eastAsia="Times New Roman"/>
          <w:b w:val="false"/>
          <w:sz w:val="26"/>
        </w:rPr>
        <w:t>2. Người đang chờ hưởng lương hưu, trợ cấp BHXH hàng tháng: lập hồ sơ theo quy định tại mục 13.3 (Thành phần hồ sơ) và nộp cho cơ quan BHXH nơi đang quản lý hồ sơ chờ.</w:t>
      </w:r>
    </w:p>
    <w:p>
      <w:pPr>
        <w:shd w:val="clear" w:color="auto" w:fill="F2F6F9"/>
        <w:spacing w:after="0" w:before="120" w:lineRule="auto" w:line="276"/>
        <w:jc w:val="both"/>
      </w:pPr>
      <w:r>
        <w:rPr>
          <w:rFonts w:ascii="Times New Roman" w:hAnsi="Times New Roman" w:cs="Times New Roman" w:eastAsia="Times New Roman"/>
          <w:b w:val="true"/>
          <w:sz w:val="26"/>
        </w:rPr>
        <w:t>Bước 2.</w:t>
      </w:r>
    </w:p>
    <w:p>
      <w:pPr>
        <w:spacing w:after="0" w:before="0" w:lineRule="auto" w:line="276"/>
        <w:jc w:val="both"/>
      </w:pPr>
      <w:r>
        <w:rPr>
          <w:rFonts w:ascii="Times New Roman" w:hAnsi="Times New Roman" w:cs="Times New Roman" w:eastAsia="Times New Roman"/>
          <w:b w:val="false"/>
          <w:sz w:val="26"/>
        </w:rPr>
        <w:t>Cơ quan BHXH tiếp nhận hồ sơ và giải quyết theo quy định.</w:t>
      </w:r>
    </w:p>
    <w:p>
      <w:pPr>
        <w:shd w:val="clear" w:color="auto" w:fill="F2F6F9"/>
        <w:spacing w:after="0" w:before="120" w:lineRule="auto" w:line="276"/>
        <w:jc w:val="both"/>
      </w:pPr>
      <w:r>
        <w:rPr>
          <w:rFonts w:ascii="Times New Roman" w:hAnsi="Times New Roman" w:cs="Times New Roman" w:eastAsia="Times New Roman"/>
          <w:b w:val="true"/>
          <w:sz w:val="26"/>
        </w:rPr>
        <w:t>Bước 3. Nhận kết quả giải quyết</w:t>
      </w:r>
    </w:p>
    <w:p>
      <w:pPr>
        <w:spacing w:after="0" w:before="0" w:lineRule="auto" w:line="276"/>
        <w:jc w:val="both"/>
      </w:pPr>
      <w:r>
        <w:rPr>
          <w:rFonts w:ascii="Times New Roman" w:hAnsi="Times New Roman" w:cs="Times New Roman" w:eastAsia="Times New Roman"/>
          <w:b w:val="false"/>
          <w:sz w:val="26"/>
        </w:rPr>
        <w:t>Người hưởng nhận Thông báo về việc chi trả lương hưu, trợ cấp BHXH hoặc nhận Thông báo về việc tiếp nhận hồ sơ chờ hưởng lương hưu/trợ cấp hàng tháng (đối với người đang chờ hưởng).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Người hưởng nộp hồ sơ  Trực tiếp tại cơ quan BHXH hoặc Trung tâm Phục vụ HCC các cấp (nếu có).
2. Nhận kết quả: Người đang hưởng lương hưu, trợ cấp BHXH hàng tháng; người đang chờ hưởng lương hưu, trợ cấp BHXH hàng tháng nhận hồ sơ, giấy tờ liên quan theo hình thức đã đăng ký nhận hồ sơ (trực tiếp tại cơ quan BHXH/Trung tâm Phục vụ Hành chính công các cấp hoặc qua dịch vụ bưu chính công ích hoặc qua giao dịch điện tử).</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Người hưởng nộp hồ sơ qua giao dịch điện tử
2. Nhận kết quả: Người đang hưởng lương hưu, trợ cấp BHXH hàng tháng; người đang chờ hưởng lương hưu, trợ cấp BHXH hàng tháng nhận hồ sơ, giấy tờ liên quan theo hình thức đã đăng ký nhận hồ sơ (trực tiếp tại cơ quan BHXH/Trung tâm Phục vụ Hành chính công các cấp hoặc qua dịch vụ bưu chính công ích hoặc qua giao dịch điện tử).</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1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Người hưởng nộp hồ sơ qua dịch vụ bưu chính công ích
2. Nhận kết quả: Người đang hưởng lương hưu, trợ cấp BHXH hàng tháng; người đang chờ hưởng lương hưu, trợ cấp BHXH hàng tháng nhận hồ sơ, giấy tờ liên quan theo hình thức đã đăng ký nhận hồ sơ (trực tiếp tại cơ quan BHXH/Trung tâm Phục vụ Hành chính công các cấp hoặc qua dịch vụ bưu chính công ích hoặc qua giao dịch điện tử).</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chính Đơn đề nghị</w:t>
            </w:r>
          </w:p>
        </w:tc>
        <w:tc>
          <w:p/>
          <w:p>
            <w:pPr>
              <w:spacing w:after="0" w:before="0" w:lineRule="auto" w:line="276"/>
              <w:jc w:val="left"/>
            </w:pPr>
            <w:r>
              <w:rPr>
                <w:rFonts w:ascii="Times New Roman" w:hAnsi="Times New Roman" w:cs="Times New Roman" w:eastAsia="Times New Roman"/>
                <w:b w:val="false"/>
                <w:sz w:val="26"/>
              </w:rPr>
              <w:t>14-HSB.doc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huyện, Bảo hiểm xã hội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về việc chi trả lương hưu, trợ cấp BHXH, Thông báo về việc tiếp nhận hồ sơ chờ hưởng lương hưu/trợ cấp hàng tháng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115/2015/NĐ-CP</w:t>
            </w:r>
          </w:p>
        </w:tc>
        <w:tc>
          <w:p/>
          <w:p>
            <w:pPr>
              <w:spacing w:after="0" w:before="0" w:lineRule="auto" w:line="276"/>
              <w:jc w:val="left"/>
            </w:pPr>
            <w:r>
              <w:rPr>
                <w:rFonts w:ascii="Times New Roman" w:hAnsi="Times New Roman" w:cs="Times New Roman" w:eastAsia="Times New Roman"/>
                <w:b w:val="false"/>
                <w:sz w:val="26"/>
              </w:rPr>
              <w:t>NGHỊ ĐỊNH  Quy định chi tiết một số điều của Luật Bảo hiểm xã hội về bảo hiểm xã hội bắt buộc</w:t>
            </w:r>
          </w:p>
        </w:tc>
        <w:tc>
          <w:p/>
          <w:p>
            <w:pPr>
              <w:spacing w:after="0" w:before="0" w:lineRule="auto" w:line="276"/>
              <w:jc w:val="left"/>
            </w:pPr>
            <w:r>
              <w:rPr>
                <w:rFonts w:ascii="Times New Roman" w:hAnsi="Times New Roman" w:cs="Times New Roman" w:eastAsia="Times New Roman"/>
                <w:b w:val="false"/>
                <w:sz w:val="26"/>
              </w:rPr>
              <w:t>11-11-2015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59/2015/TT-BLĐTBXH</w:t>
            </w:r>
          </w:p>
        </w:tc>
        <w:tc>
          <w:p/>
          <w:p>
            <w:pPr>
              <w:spacing w:after="0" w:before="0" w:lineRule="auto" w:line="276"/>
              <w:jc w:val="left"/>
            </w:pPr>
            <w:r>
              <w:rPr>
                <w:rFonts w:ascii="Times New Roman" w:hAnsi="Times New Roman" w:cs="Times New Roman" w:eastAsia="Times New Roman"/>
                <w:b w:val="false"/>
                <w:sz w:val="26"/>
              </w:rPr>
              <w:t>Thông tư 59/2015/TT-BLĐTBXH</w:t>
            </w:r>
          </w:p>
        </w:tc>
        <w:tc>
          <w:p/>
          <w:p>
            <w:pPr>
              <w:spacing w:after="0" w:before="0" w:lineRule="auto" w:line="276"/>
              <w:jc w:val="left"/>
            </w:pPr>
            <w:r>
              <w:rPr>
                <w:rFonts w:ascii="Times New Roman" w:hAnsi="Times New Roman" w:cs="Times New Roman" w:eastAsia="Times New Roman"/>
                <w:b w:val="false"/>
                <w:sz w:val="26"/>
              </w:rPr>
              <w:t>29-12-2015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134/2015/NĐ-CP</w:t>
            </w:r>
          </w:p>
        </w:tc>
        <w:tc>
          <w:p/>
          <w:p>
            <w:pPr>
              <w:spacing w:after="0" w:before="0" w:lineRule="auto" w:line="276"/>
              <w:jc w:val="left"/>
            </w:pPr>
            <w:r>
              <w:rPr>
                <w:rFonts w:ascii="Times New Roman" w:hAnsi="Times New Roman" w:cs="Times New Roman" w:eastAsia="Times New Roman"/>
                <w:b w:val="false"/>
                <w:sz w:val="26"/>
              </w:rPr>
              <w:t>Nghị định 134/2015/NĐ-CP</w:t>
            </w:r>
          </w:p>
        </w:tc>
        <w:tc>
          <w:p/>
          <w:p>
            <w:pPr>
              <w:spacing w:after="0" w:before="0" w:lineRule="auto" w:line="276"/>
              <w:jc w:val="left"/>
            </w:pPr>
            <w:r>
              <w:rPr>
                <w:rFonts w:ascii="Times New Roman" w:hAnsi="Times New Roman" w:cs="Times New Roman" w:eastAsia="Times New Roman"/>
                <w:b w:val="false"/>
                <w:sz w:val="26"/>
              </w:rPr>
              <w:t>29-12-2015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01/2016/TT-BLĐTBXH</w:t>
            </w:r>
          </w:p>
        </w:tc>
        <w:tc>
          <w:p/>
          <w:p>
            <w:pPr>
              <w:spacing w:after="0" w:before="0" w:lineRule="auto" w:line="276"/>
              <w:jc w:val="left"/>
            </w:pPr>
            <w:r>
              <w:rPr>
                <w:rFonts w:ascii="Times New Roman" w:hAnsi="Times New Roman" w:cs="Times New Roman" w:eastAsia="Times New Roman"/>
                <w:b w:val="false"/>
                <w:sz w:val="26"/>
              </w:rPr>
              <w:t>Thông tư 01/2016/TT-BLĐTBXH</w:t>
            </w:r>
          </w:p>
        </w:tc>
        <w:tc>
          <w:p/>
          <w:p>
            <w:pPr>
              <w:spacing w:after="0" w:before="0" w:lineRule="auto" w:line="276"/>
              <w:jc w:val="left"/>
            </w:pPr>
            <w:r>
              <w:rPr>
                <w:rFonts w:ascii="Times New Roman" w:hAnsi="Times New Roman" w:cs="Times New Roman" w:eastAsia="Times New Roman"/>
                <w:b w:val="false"/>
                <w:sz w:val="26"/>
              </w:rPr>
              <w:t>18-02-2016</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58/2014/QH13</w:t>
            </w:r>
          </w:p>
        </w:tc>
        <w:tc>
          <w:p/>
          <w:p>
            <w:pPr>
              <w:spacing w:after="0" w:before="0" w:lineRule="auto" w:line="276"/>
              <w:jc w:val="left"/>
            </w:pPr>
            <w:r>
              <w:rPr>
                <w:rFonts w:ascii="Times New Roman" w:hAnsi="Times New Roman" w:cs="Times New Roman" w:eastAsia="Times New Roman"/>
                <w:b w:val="false"/>
                <w:sz w:val="26"/>
              </w:rPr>
              <w:t>Luật 58/2014/QH13 - Bảo hiểm xã hội</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33/2016/NĐ-CP</w:t>
            </w:r>
          </w:p>
        </w:tc>
        <w:tc>
          <w:p/>
          <w:p>
            <w:pPr>
              <w:spacing w:after="0" w:before="0" w:lineRule="auto" w:line="276"/>
              <w:jc w:val="left"/>
            </w:pPr>
            <w:r>
              <w:rPr>
                <w:rFonts w:ascii="Times New Roman" w:hAnsi="Times New Roman" w:cs="Times New Roman" w:eastAsia="Times New Roman"/>
                <w:b w:val="false"/>
                <w:sz w:val="26"/>
              </w:rPr>
              <w:t>Nghị định 33/2016/NĐ-CP-Quy định chi tiết và hướng dẫn thi hành một số điều của Luật Bảo hiểm xã hội về bảo hiểm xã hội bắt buộc đối với quân nhân, công an nhân dân và người làm công tác cơ yếu hưởng lương như đối với quân nhân</w:t>
            </w:r>
          </w:p>
        </w:tc>
        <w:tc>
          <w:p/>
          <w:p>
            <w:pPr>
              <w:spacing w:after="0" w:before="0" w:lineRule="auto" w:line="276"/>
              <w:jc w:val="left"/>
            </w:pPr>
            <w:r>
              <w:rPr>
                <w:rFonts w:ascii="Times New Roman" w:hAnsi="Times New Roman" w:cs="Times New Roman" w:eastAsia="Times New Roman"/>
                <w:b w:val="false"/>
                <w:sz w:val="26"/>
              </w:rPr>
              <w:t>10-05-2016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166/2016/NĐ-CP</w:t>
            </w:r>
          </w:p>
        </w:tc>
        <w:tc>
          <w:p/>
          <w:p>
            <w:pPr>
              <w:spacing w:after="0" w:before="0" w:lineRule="auto" w:line="276"/>
              <w:jc w:val="left"/>
            </w:pPr>
            <w:r>
              <w:rPr>
                <w:rFonts w:ascii="Times New Roman" w:hAnsi="Times New Roman" w:cs="Times New Roman" w:eastAsia="Times New Roman"/>
                <w:b w:val="false"/>
                <w:sz w:val="26"/>
              </w:rPr>
              <w:t>Nghị định 166/2016/NĐ-CP-Quy định về giao dịch điện tử trong lĩnh vực bảo hiểm xã hội, bảo hiểm y tế và bảo hiểm thất nghiệp</w:t>
            </w:r>
          </w:p>
        </w:tc>
        <w:tc>
          <w:p/>
          <w:p>
            <w:pPr>
              <w:spacing w:after="0" w:before="0" w:lineRule="auto" w:line="276"/>
              <w:jc w:val="left"/>
            </w:pPr>
            <w:r>
              <w:rPr>
                <w:rFonts w:ascii="Times New Roman" w:hAnsi="Times New Roman" w:cs="Times New Roman" w:eastAsia="Times New Roman"/>
                <w:b w:val="false"/>
                <w:sz w:val="26"/>
              </w:rPr>
              <w:t>24-12-2016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105/2016/TTLT-BQP-BCA-BLĐTBXH</w:t>
            </w:r>
          </w:p>
        </w:tc>
        <w:tc>
          <w:p/>
          <w:p>
            <w:pPr>
              <w:spacing w:after="0" w:before="0" w:lineRule="auto" w:line="276"/>
              <w:jc w:val="left"/>
            </w:pPr>
            <w:r>
              <w:rPr>
                <w:rFonts w:ascii="Times New Roman" w:hAnsi="Times New Roman" w:cs="Times New Roman" w:eastAsia="Times New Roman"/>
                <w:b w:val="false"/>
                <w:sz w:val="26"/>
              </w:rPr>
              <w:t>Thông tư liên tịch 105/2016/TTLT-BQP-BCA-BLĐTBXH</w:t>
            </w:r>
          </w:p>
        </w:tc>
        <w:tc>
          <w:p/>
          <w:p>
            <w:pPr>
              <w:spacing w:after="0" w:before="0" w:lineRule="auto" w:line="276"/>
              <w:jc w:val="left"/>
            </w:pPr>
            <w:r>
              <w:rPr>
                <w:rFonts w:ascii="Times New Roman" w:hAnsi="Times New Roman" w:cs="Times New Roman" w:eastAsia="Times New Roman"/>
                <w:b w:val="false"/>
                <w:sz w:val="26"/>
              </w:rPr>
              <w:t>30-06-2016</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Người hưởng có yêu cầu chuyển nơi hưởng lương hưu hoặc trợ cấp BHXH hàng tháng.
b) Người chờ hưởng lương hưu, trợ cấp BHXH hàng tháng có yêu cầu chuyển hồ sơ chờ hưởng lương hưu, trợ cấp BHXH hàng tháng đến nơi cư trú tại địa bàn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https://thutuc.dichvucong.gov.vn/p/home/dvc-tthc-thu-tuc-hanh-chinh-chi-tiet.html?ma_thu_tuc=2532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2025-11-27T16:42:18Z</dcterms:created>
  <dc:creator>Apache POI</dc:creator>
</cp:coreProperties>
</file>