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Ký hợp đồng khám, chữa bệnh BHYT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BHYT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Cơ sở KCB lập hồ sơ ký hợp đồng theo quy định tại mục Thành phần hồ sơ và nộp hồ sơ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thẩm định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Ký hợp đồng</w:t>
      </w:r>
    </w:p>
    <w:p>
      <w:pPr>
        <w:spacing w:after="0" w:before="0" w:lineRule="auto" w:line="276"/>
        <w:jc w:val="both"/>
      </w:pPr>
      <w:r>
        <w:rPr>
          <w:rFonts w:ascii="Times New Roman" w:hAnsi="Times New Roman" w:cs="Times New Roman" w:eastAsia="Times New Roman"/>
          <w:b w:val="false"/>
          <w:sz w:val="26"/>
        </w:rPr>
        <w:t>a) Trường hợp cơ sở KCB đủ điều kiện thì cơ quan BHXH và cơ sở KCB ký hợp đồng KCB BHYT theo Mẫu số 7 Phụ lục ban hành kèm theo Nghị định 75/2023/NĐ-CP.</w:t>
      </w:r>
    </w:p>
    <w:p>
      <w:pPr>
        <w:spacing w:after="0" w:before="0" w:lineRule="auto" w:line="276"/>
        <w:jc w:val="both"/>
      </w:pPr>
      <w:r>
        <w:rPr>
          <w:rFonts w:ascii="Times New Roman" w:hAnsi="Times New Roman" w:cs="Times New Roman" w:eastAsia="Times New Roman"/>
          <w:b w:val="false"/>
          <w:sz w:val="26"/>
        </w:rPr>
        <w:t>b) Trường hợp cơ sở KCB không đủ điều kiện, cơ quan BHXH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sở KCB nộp hồ sơ trực tuyến hoặc trực tiếp tại cơ quan BHXH hoặc qua dịch vụ bưu chính công ích.
- Tổ chức ký hợp đồng KCB nếu đủ điều kiện.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sở KCB nộp hồ sơ trực tuyến hoặc trực tiếp tại cơ quan BHXH hoặc qua dịch vụ bưu chính công ích.
- Tổ chức ký hợp đồng KCB nếu đủ điều kiện.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sở KCB nộp hồ sơ trực tuyến hoặc trực tiếp tại cơ quan BHXH hoặc qua dịch vụ bưu chính công ích.
- Tổ chức ký hợp đồng KCB nếu đủ điều kiện.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cơ sở KCB lần đầu ký hợp đồng hoặc cơ sở KCB sau khi đã chấm dứt hợp đồng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ký hợp đồng KCB BHYT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hoạt động khám bệnh, chữa bệnh do cơ quan nhà nước có thẩm quyền cấp cho cơ sở khám bệnh, chữa bệnh;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chụp có đóng dấu của cơ sở đối với quyết định phân hạng bệnh viện của cấp có thẩm quyền (nếu có) hoặc quyết định về tuyến chuyên môn kỹ thuật của cấp có thẩm quyền đối với cơ sở khám bệnh, chữa bệnh ngoài công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thuốc, hóa chất, vật tư y tế, dịch vụ kỹ thuật y tế được cấp có thẩm quyền phê duyệt (bằng văn bản hoặc bản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nhân lực đăng ký hành nghề tại cơ sở khám bệnh, chữa bệnh có đầy đủ thông tin theo quy định tại Mẫu số 01 Phụ lục II ban hành kèm theo Nghị định số 96/2023/NĐ-CP ngày 30/12/2023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Đối với cơ sở KCB ký hợp đồng KCB BHYT hàng năm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chụp có đóng dấu của cơ sở đối với quyết định bổ sung chức năng, nhiệm vụ, phạm vi chuyên môn, phân hạng bệnh viện của cấp có thẩm quyền (nếu có) hoặc quyết định về tuyến chuyên môn kỹ thuật của cấp có thẩm quyền đối với cơ sở khám bệnh, chữa bệnh ngoài công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Hợp đồng KCB BHYT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25/2008/QH12</w:t>
            </w:r>
          </w:p>
        </w:tc>
        <w:tc>
          <w:p/>
          <w:p>
            <w:pPr>
              <w:spacing w:after="0" w:before="0" w:lineRule="auto" w:line="276"/>
              <w:jc w:val="left"/>
            </w:pPr>
            <w:r>
              <w:rPr>
                <w:rFonts w:ascii="Times New Roman" w:hAnsi="Times New Roman" w:cs="Times New Roman" w:eastAsia="Times New Roman"/>
                <w:b w:val="false"/>
                <w:sz w:val="26"/>
              </w:rPr>
              <w:t>Luật 25/2008/QH12</w:t>
            </w:r>
          </w:p>
        </w:tc>
        <w:tc>
          <w:p/>
          <w:p>
            <w:pPr>
              <w:spacing w:after="0" w:before="0" w:lineRule="auto" w:line="276"/>
              <w:jc w:val="left"/>
            </w:pPr>
            <w:r>
              <w:rPr>
                <w:rFonts w:ascii="Times New Roman" w:hAnsi="Times New Roman" w:cs="Times New Roman" w:eastAsia="Times New Roman"/>
                <w:b w:val="false"/>
                <w:sz w:val="26"/>
              </w:rPr>
              <w:t>14-11-2008</w:t>
            </w:r>
          </w:p>
        </w:tc>
        <w:tc>
          <w:p/>
        </w:tc>
      </w:tr>
      <w:tr>
        <w:tc>
          <w:p/>
          <w:p>
            <w:pPr>
              <w:spacing w:after="0" w:before="0" w:lineRule="auto" w:line="276"/>
              <w:jc w:val="left"/>
            </w:pPr>
            <w:r>
              <w:rPr>
                <w:rFonts w:ascii="Times New Roman" w:hAnsi="Times New Roman" w:cs="Times New Roman" w:eastAsia="Times New Roman"/>
                <w:b w:val="false"/>
                <w:sz w:val="26"/>
              </w:rPr>
              <w:t>46/2014/QH13</w:t>
            </w:r>
          </w:p>
        </w:tc>
        <w:tc>
          <w:p/>
          <w:p>
            <w:pPr>
              <w:spacing w:after="0" w:before="0" w:lineRule="auto" w:line="276"/>
              <w:jc w:val="left"/>
            </w:pPr>
            <w:r>
              <w:rPr>
                <w:rFonts w:ascii="Times New Roman" w:hAnsi="Times New Roman" w:cs="Times New Roman" w:eastAsia="Times New Roman"/>
                <w:b w:val="false"/>
                <w:sz w:val="26"/>
              </w:rPr>
              <w:t>Luật 46/2014/QH13</w:t>
            </w:r>
          </w:p>
        </w:tc>
        <w:tc>
          <w:p/>
          <w:p>
            <w:pPr>
              <w:spacing w:after="0" w:before="0" w:lineRule="auto" w:line="276"/>
              <w:jc w:val="left"/>
            </w:pPr>
            <w:r>
              <w:rPr>
                <w:rFonts w:ascii="Times New Roman" w:hAnsi="Times New Roman" w:cs="Times New Roman" w:eastAsia="Times New Roman"/>
                <w:b w:val="false"/>
                <w:sz w:val="26"/>
              </w:rPr>
              <w:t>13-06-2014</w:t>
            </w:r>
          </w:p>
        </w:tc>
        <w:tc>
          <w:p/>
        </w:tc>
      </w:tr>
      <w:tr>
        <w:tc>
          <w:p/>
          <w:p>
            <w:pPr>
              <w:spacing w:after="0" w:before="0" w:lineRule="auto" w:line="276"/>
              <w:jc w:val="left"/>
            </w:pPr>
            <w:r>
              <w:rPr>
                <w:rFonts w:ascii="Times New Roman" w:hAnsi="Times New Roman" w:cs="Times New Roman" w:eastAsia="Times New Roman"/>
                <w:b w:val="false"/>
                <w:sz w:val="26"/>
              </w:rPr>
              <w:t>146/2018/NĐ-CP</w:t>
            </w:r>
          </w:p>
        </w:tc>
        <w:tc>
          <w:p/>
          <w:p>
            <w:pPr>
              <w:spacing w:after="0" w:before="0" w:lineRule="auto" w:line="276"/>
              <w:jc w:val="left"/>
            </w:pPr>
            <w:r>
              <w:rPr>
                <w:rFonts w:ascii="Times New Roman" w:hAnsi="Times New Roman" w:cs="Times New Roman" w:eastAsia="Times New Roman"/>
                <w:b w:val="false"/>
                <w:sz w:val="26"/>
              </w:rPr>
              <w:t>Nghị định 146/2018/NĐ-CP</w:t>
            </w:r>
          </w:p>
        </w:tc>
        <w:tc>
          <w:p/>
          <w:p>
            <w:pPr>
              <w:spacing w:after="0" w:before="0" w:lineRule="auto" w:line="276"/>
              <w:jc w:val="left"/>
            </w:pPr>
            <w:r>
              <w:rPr>
                <w:rFonts w:ascii="Times New Roman" w:hAnsi="Times New Roman" w:cs="Times New Roman" w:eastAsia="Times New Roman"/>
                <w:b w:val="false"/>
                <w:sz w:val="26"/>
              </w:rPr>
              <w:t>17-10-2018</w:t>
            </w:r>
          </w:p>
        </w:tc>
        <w:tc>
          <w:p/>
        </w:tc>
      </w:tr>
      <w:tr>
        <w:tc>
          <w:p/>
          <w:p>
            <w:pPr>
              <w:spacing w:after="0" w:before="0" w:lineRule="auto" w:line="276"/>
              <w:jc w:val="left"/>
            </w:pPr>
            <w:r>
              <w:rPr>
                <w:rFonts w:ascii="Times New Roman" w:hAnsi="Times New Roman" w:cs="Times New Roman" w:eastAsia="Times New Roman"/>
                <w:b w:val="false"/>
                <w:sz w:val="26"/>
              </w:rPr>
              <w:t>09/2019/TT-BYT</w:t>
            </w:r>
          </w:p>
        </w:tc>
        <w:tc>
          <w:p/>
          <w:p>
            <w:pPr>
              <w:spacing w:after="0" w:before="0" w:lineRule="auto" w:line="276"/>
              <w:jc w:val="left"/>
            </w:pPr>
            <w:r>
              <w:rPr>
                <w:rFonts w:ascii="Times New Roman" w:hAnsi="Times New Roman" w:cs="Times New Roman" w:eastAsia="Times New Roman"/>
                <w:b w:val="false"/>
                <w:sz w:val="26"/>
              </w:rPr>
              <w:t>Thông tư 09/2019/TT-BYT</w:t>
            </w:r>
          </w:p>
        </w:tc>
        <w:tc>
          <w:p/>
          <w:p>
            <w:pPr>
              <w:spacing w:after="0" w:before="0" w:lineRule="auto" w:line="276"/>
              <w:jc w:val="left"/>
            </w:pPr>
            <w:r>
              <w:rPr>
                <w:rFonts w:ascii="Times New Roman" w:hAnsi="Times New Roman" w:cs="Times New Roman" w:eastAsia="Times New Roman"/>
                <w:b w:val="false"/>
                <w:sz w:val="26"/>
              </w:rPr>
              <w:t>10-06-2019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Ký hợp đồng KCB theo Mẫu số 7 Phụ lục kèm theo Nghị định số 75/2023/NĐ-CP.
2.	Thời hạn có hiệu lực của hợp đồng KCB BHYT theo Khoản 2 Điều 18 Nghị định số 146/2018/NĐ-CP.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2025-11-27T16:42:45Z</dcterms:created>
  <dc:creator>Apache POI</dc:creator>
</cp:coreProperties>
</file>