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1.001801</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775/QĐ-BVHTTDL</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cấp Giấy chứng nhận đủ điều kiện kinh doanh hoạt động thể thao đối với môn Bắn súng thể thao</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Thể dục thể thao</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Doanh nghiệp gửi hồ sơ qua bưu chính hoặc trên môi trường điện tử hoặc nộp trực tiếp đến Cơ quan chuyên môn về thể dục, thể thao thuộc Ủy ban nhân dân cấp tỉnh nơi đăng ký địa điểm kinh doanh hoạt động thể thao hoặc nơi doanh nghiệp có trụ sở chính trường hợp doanh nghiệp có nhiều địa điểm kinh doanh hoạt động thể thao.
- Cơ quan chuyên môn về thể dục, thể thao thuộc Ủy ban nhân dân cấp tỉnh (sau đây gọi là cơ quan cấp Giấy chứng nhận) cấp cho doanh nghiệp giấy tiếp nhận hồ sơ.
- Trường hợp hồ sơ cần sửa đổi, bổ sung, cơ quan cấp Giấy chứng nhận thông báo trực tiếp hoặc bằng văn bản những nội dung cần sửa đổi, bổ sung đến doanh nghiệp trong thời hạn 03 ngày làm việc, kể từ ngày nhận hồ sơ.</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07 ngày làm việc kể từ ngày nhận đủ hồ sơ hợp lệ.Trường hợp hồ sơ cần sửa đổi, bổ sung, cơ quan cấp Giấy chứng nhận đủ điều kiện thông báo trực tiếp hoặc bằng văn bản những nội dung cần sửa đổi, bổ sung đến doanh nghiệp trong thời hạn 03 ngày làm việc, kể từ ngày nhận hồ sơ.</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07 ngày làm việc kể từ ngày nhận đủ hồ sơ hợp lệ.Trường hợp hồ sơ cần sửa đổi, bổ sung, cơ quan cấp Giấy chứng nhận đủ điều kiện thông báo trực tiếp hoặc bằng văn bản những nội dung cần sửa đổi, bổ sung đến doanh nghiệp trong thời hạn 03 ngày làm việc, kể từ ngày nhận hồ sơ.</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07 ngày làm việc kể từ ngày nhận đủ hồ sơ hợp lệ.Trường hợp hồ sơ cần sửa đổi, bổ sung, cơ quan cấp Giấy chứng nhận đủ điều kiện thông báo trực tiếp hoặc bằng văn bản những nội dung cần sửa đổi, bổ sung đến doanh nghiệp trong thời hạn 03 ngày làm việc, kể từ ngày nhận hồ sơ.</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(2) Bản tóm tắt tình hình chuẩn bị các điều kiện kinh doanh hoạt động thể thao theo Mẫu số 03 ban hành kèm theo Nghị định số 36/2019/NĐ-CP ngày 29/4/2019 quy định chi tiết một số điều của Luật sửa đổi, bổ sung một số điều của Luật Thể dục, thể thao</w:t>
            </w:r>
          </w:p>
        </w:tc>
        <w:tc>
          <w:p/>
          <w:p>
            <w:pPr>
              <w:spacing w:after="0" w:before="0" w:lineRule="auto" w:line="276"/>
              <w:jc w:val="left"/>
            </w:pPr>
            <w:r>
              <w:rPr>
                <w:rFonts w:ascii="Times New Roman" w:hAnsi="Times New Roman" w:cs="Times New Roman" w:eastAsia="Times New Roman"/>
                <w:b w:val="false"/>
                <w:sz w:val="26"/>
              </w:rPr>
              <w:t>Mẫu số 03.ND362019.docx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(3) Giấy chứng nhận đăng ký doanh nghiệp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(1)  Đơn đề nghị Cấp giấy chứng nhận đủ điều kiện kinh doanh hoạt động thể thao (theo mẫu số 02 Phụ lục III Nghị định số 31/2024/NĐ-CP ngày 15/3/2024)</w:t>
            </w:r>
          </w:p>
        </w:tc>
        <w:tc>
          <w:p/>
          <w:p>
            <w:pPr>
              <w:spacing w:after="0" w:before="0" w:lineRule="auto" w:line="276"/>
              <w:jc w:val="left"/>
            </w:pPr>
            <w:r>
              <w:rPr>
                <w:rFonts w:ascii="Times New Roman" w:hAnsi="Times New Roman" w:cs="Times New Roman" w:eastAsia="Times New Roman"/>
                <w:b w:val="false"/>
                <w:sz w:val="26"/>
              </w:rPr>
              <w:t>Phu luc 3.docx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Cơ quan chuyên môn về thể dục, thể thao thuộc 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đủ điều kiện kinh doanh hoạt động thể thao (mẫu số 01 Phụ lục III Nghị định số 31/2024/NĐ-CP ngày 15/3/2024)</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77/2006/QH11</w:t>
            </w:r>
          </w:p>
        </w:tc>
        <w:tc>
          <w:p/>
          <w:p>
            <w:pPr>
              <w:spacing w:after="0" w:before="0" w:lineRule="auto" w:line="276"/>
              <w:jc w:val="left"/>
            </w:pPr>
            <w:r>
              <w:rPr>
                <w:rFonts w:ascii="Times New Roman" w:hAnsi="Times New Roman" w:cs="Times New Roman" w:eastAsia="Times New Roman"/>
                <w:b w:val="false"/>
                <w:sz w:val="26"/>
              </w:rPr>
              <w:t>Luật 77/2006/QH11</w:t>
            </w:r>
          </w:p>
        </w:tc>
        <w:tc>
          <w:p/>
          <w:p>
            <w:pPr>
              <w:spacing w:after="0" w:before="0" w:lineRule="auto" w:line="276"/>
              <w:jc w:val="left"/>
            </w:pPr>
            <w:r>
              <w:rPr>
                <w:rFonts w:ascii="Times New Roman" w:hAnsi="Times New Roman" w:cs="Times New Roman" w:eastAsia="Times New Roman"/>
                <w:b w:val="false"/>
                <w:sz w:val="26"/>
              </w:rPr>
              <w:t>11-11-2006</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97/2015/QH13</w:t>
            </w:r>
          </w:p>
        </w:tc>
        <w:tc>
          <w:p/>
          <w:p>
            <w:pPr>
              <w:spacing w:after="0" w:before="0" w:lineRule="auto" w:line="276"/>
              <w:jc w:val="left"/>
            </w:pPr>
            <w:r>
              <w:rPr>
                <w:rFonts w:ascii="Times New Roman" w:hAnsi="Times New Roman" w:cs="Times New Roman" w:eastAsia="Times New Roman"/>
                <w:b w:val="false"/>
                <w:sz w:val="26"/>
              </w:rPr>
              <w:t>Luật 97/2015/QH13</w:t>
            </w:r>
          </w:p>
        </w:tc>
        <w:tc>
          <w:p/>
          <w:p>
            <w:pPr>
              <w:spacing w:after="0" w:before="0" w:lineRule="auto" w:line="276"/>
              <w:jc w:val="left"/>
            </w:pPr>
            <w:r>
              <w:rPr>
                <w:rFonts w:ascii="Times New Roman" w:hAnsi="Times New Roman" w:cs="Times New Roman" w:eastAsia="Times New Roman"/>
                <w:b w:val="false"/>
                <w:sz w:val="26"/>
              </w:rPr>
              <w:t>25-11-2015</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36/2019/NĐ-CP</w:t>
            </w:r>
          </w:p>
        </w:tc>
        <w:tc>
          <w:p/>
          <w:p>
            <w:pPr>
              <w:spacing w:after="0" w:before="0" w:lineRule="auto" w:line="276"/>
              <w:jc w:val="left"/>
            </w:pPr>
            <w:r>
              <w:rPr>
                <w:rFonts w:ascii="Times New Roman" w:hAnsi="Times New Roman" w:cs="Times New Roman" w:eastAsia="Times New Roman"/>
                <w:b w:val="false"/>
                <w:sz w:val="26"/>
              </w:rPr>
              <w:t>Nghị định 36/2019/NĐ-CP</w:t>
            </w:r>
          </w:p>
        </w:tc>
        <w:tc>
          <w:p/>
          <w:p>
            <w:pPr>
              <w:spacing w:after="0" w:before="0" w:lineRule="auto" w:line="276"/>
              <w:jc w:val="left"/>
            </w:pPr>
            <w:r>
              <w:rPr>
                <w:rFonts w:ascii="Times New Roman" w:hAnsi="Times New Roman" w:cs="Times New Roman" w:eastAsia="Times New Roman"/>
                <w:b w:val="false"/>
                <w:sz w:val="26"/>
              </w:rPr>
              <w:t>29-04-2019</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26/2018/QH14</w:t>
            </w:r>
          </w:p>
        </w:tc>
        <w:tc>
          <w:p/>
          <w:p>
            <w:pPr>
              <w:spacing w:after="0" w:before="0" w:lineRule="auto" w:line="276"/>
              <w:jc w:val="left"/>
            </w:pPr>
            <w:r>
              <w:rPr>
                <w:rFonts w:ascii="Times New Roman" w:hAnsi="Times New Roman" w:cs="Times New Roman" w:eastAsia="Times New Roman"/>
                <w:b w:val="false"/>
                <w:sz w:val="26"/>
              </w:rPr>
              <w:t>SỬA ĐỔI, BỔ SUNG MỘT SỐ ĐIỀU CỦA LUẬT THỂ DỤC, THỂ THAO</w:t>
            </w:r>
          </w:p>
        </w:tc>
        <w:tc>
          <w:p/>
          <w:p>
            <w:pPr>
              <w:spacing w:after="0" w:before="0" w:lineRule="auto" w:line="276"/>
              <w:jc w:val="left"/>
            </w:pPr>
            <w:r>
              <w:rPr>
                <w:rFonts w:ascii="Times New Roman" w:hAnsi="Times New Roman" w:cs="Times New Roman" w:eastAsia="Times New Roman"/>
                <w:b w:val="false"/>
                <w:sz w:val="26"/>
              </w:rPr>
              <w:t>14-06-2018</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31/2018/TT-BVHTTDL</w:t>
            </w:r>
          </w:p>
        </w:tc>
        <w:tc>
          <w:p/>
          <w:p>
            <w:pPr>
              <w:spacing w:after="0" w:before="0" w:lineRule="auto" w:line="276"/>
              <w:jc w:val="left"/>
            </w:pPr>
            <w:r>
              <w:rPr>
                <w:rFonts w:ascii="Times New Roman" w:hAnsi="Times New Roman" w:cs="Times New Roman" w:eastAsia="Times New Roman"/>
                <w:b w:val="false"/>
                <w:sz w:val="26"/>
              </w:rPr>
              <w:t>Thông tư 31/2018/TT-BVHTTDL</w:t>
            </w:r>
          </w:p>
        </w:tc>
        <w:tc>
          <w:p/>
          <w:p>
            <w:pPr>
              <w:spacing w:after="0" w:before="0" w:lineRule="auto" w:line="276"/>
              <w:jc w:val="left"/>
            </w:pPr>
            <w:r>
              <w:rPr>
                <w:rFonts w:ascii="Times New Roman" w:hAnsi="Times New Roman" w:cs="Times New Roman" w:eastAsia="Times New Roman"/>
                <w:b w:val="false"/>
                <w:sz w:val="26"/>
              </w:rPr>
              <w:t>05-10-2018</w:t>
            </w:r>
          </w:p>
        </w:tc>
        <w:tc>
          <w:p/>
          <w:p>
            <w:pPr>
              <w:spacing w:after="0" w:before="0" w:lineRule="auto" w:line="276"/>
              <w:jc w:val="left"/>
            </w:pPr>
            <w:r>
              <w:rPr>
                <w:rFonts w:ascii="Times New Roman" w:hAnsi="Times New Roman" w:cs="Times New Roman" w:eastAsia="Times New Roman"/>
                <w:b w:val="false"/>
                <w:sz w:val="26"/>
              </w:rPr>
              <w:t>Bộ Văn hóa, Thể thao và Du lịch</w:t>
            </w:r>
          </w:p>
        </w:tc>
      </w:tr>
      <w:tr>
        <w:tc>
          <w:p/>
          <w:p>
            <w:pPr>
              <w:spacing w:after="0" w:before="0" w:lineRule="auto" w:line="276"/>
              <w:jc w:val="left"/>
            </w:pPr>
            <w:r>
              <w:rPr>
                <w:rFonts w:ascii="Times New Roman" w:hAnsi="Times New Roman" w:cs="Times New Roman" w:eastAsia="Times New Roman"/>
                <w:b w:val="false"/>
                <w:sz w:val="26"/>
              </w:rPr>
              <w:t>04/2019/TT-BVHTTDL</w:t>
            </w:r>
          </w:p>
        </w:tc>
        <w:tc>
          <w:p/>
          <w:p>
            <w:pPr>
              <w:spacing w:after="0" w:before="0" w:lineRule="auto" w:line="276"/>
              <w:jc w:val="left"/>
            </w:pPr>
            <w:r>
              <w:rPr>
                <w:rFonts w:ascii="Times New Roman" w:hAnsi="Times New Roman" w:cs="Times New Roman" w:eastAsia="Times New Roman"/>
                <w:b w:val="false"/>
                <w:sz w:val="26"/>
              </w:rPr>
              <w:t>Thông tư 04/2019/TT-BVHTTDL ngày 17/7/2019</w:t>
            </w:r>
          </w:p>
        </w:tc>
        <w:tc>
          <w:p/>
          <w:p>
            <w:pPr>
              <w:spacing w:after="0" w:before="0" w:lineRule="auto" w:line="276"/>
              <w:jc w:val="left"/>
            </w:pPr>
            <w:r>
              <w:rPr>
                <w:rFonts w:ascii="Times New Roman" w:hAnsi="Times New Roman" w:cs="Times New Roman" w:eastAsia="Times New Roman"/>
                <w:b w:val="false"/>
                <w:sz w:val="26"/>
              </w:rPr>
              <w:t>17-07-2019</w:t>
            </w:r>
          </w:p>
        </w:tc>
        <w:tc>
          <w:p/>
        </w:tc>
      </w:tr>
      <w:tr>
        <w:tc>
          <w:p/>
          <w:p>
            <w:pPr>
              <w:spacing w:after="0" w:before="0" w:lineRule="auto" w:line="276"/>
              <w:jc w:val="left"/>
            </w:pPr>
            <w:r>
              <w:rPr>
                <w:rFonts w:ascii="Times New Roman" w:hAnsi="Times New Roman" w:cs="Times New Roman" w:eastAsia="Times New Roman"/>
                <w:b w:val="false"/>
                <w:sz w:val="26"/>
              </w:rPr>
              <w:t>31/2024/NĐ-CP</w:t>
            </w:r>
          </w:p>
        </w:tc>
        <w:tc>
          <w:p/>
          <w:p>
            <w:pPr>
              <w:spacing w:after="0" w:before="0" w:lineRule="auto" w:line="276"/>
              <w:jc w:val="left"/>
            </w:pPr>
            <w:r>
              <w:rPr>
                <w:rFonts w:ascii="Times New Roman" w:hAnsi="Times New Roman" w:cs="Times New Roman" w:eastAsia="Times New Roman"/>
                <w:b w:val="false"/>
                <w:sz w:val="26"/>
              </w:rPr>
              <w:t>Nghị định Chính phủ</w:t>
            </w:r>
          </w:p>
        </w:tc>
        <w:tc>
          <w:p/>
          <w:p>
            <w:pPr>
              <w:spacing w:after="0" w:before="0" w:lineRule="auto" w:line="276"/>
              <w:jc w:val="left"/>
            </w:pPr>
            <w:r>
              <w:rPr>
                <w:rFonts w:ascii="Times New Roman" w:hAnsi="Times New Roman" w:cs="Times New Roman" w:eastAsia="Times New Roman"/>
                <w:b w:val="false"/>
                <w:sz w:val="26"/>
              </w:rPr>
              <w:t>15-03-2024</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(1) Cơ sở vật chất, trang thiết bị tập luyện
1. Quy định chung
a) Có tường bao quanh trường bắn dày ít nhất 20cm, chiều cao trên 03m;
b) Ánh sáng chung ít nhất 500 lux, ánh sáng mặt bia tối thiểu 1.500 lux;
c) Có kho, nơi cất giữ súng, đạn thể thao bảo đảm tiêu chuẩn theo quy định của pháp luật;
d) Có khu vực kiểm tra trang thiết bị tập luyện và thi đấu;
đ) Trường bắn phải có tuyến bắn và tuyến bia song song với nhau, lối đi riêng từ tuyến bắn lên tuyến bia có vách ngăn an toàn dày ít nhất 02cm, cao ít nhất 02m;
e) Khu vực dành cho khán giả ở phía sau tuyến bắn, cách tuyến bắn ít nhất là 05m;
g) Có sổ theo dõi quá trình sử dụng súng, đạn thể thao được thực hiện theo Phụ lục I ban hành kèm theo Thông tư này;
h) Có sổ theo dõi người tham gia tập luyện được thực hiện theo Phụ lục II ban hành kèm theo Thông tư này;
i) Có túi sơ cứu theo quy định của Bộ Y tế;
k Có bảng hướng dẫn cách sử dụng súng thể thao; có bảng nội quy quy định những nội dung chủ yếu sau: Trích dẫn quy định của pháp luật về trách nhiệm của người tập luyện, người hướng dẫn tập luyện và các cá nhân có liên quan trong việc sử dụng và bảo quản súng thể thao; đối tượng tham gia tập luyện được phép sử dụng súng thể thao, giờ tập luyện, trang phục tập luyện.
Người tham gia tập luyện được sử dụng súng thể thao thực hiện theo quy định của Luật Quản lý, sử dụng vũ khí, vật liệu nổ và công cụ hỗ trợ.
2. Quy định đối với trường bắn cự ly 50m
a) Chiều dài trường bắn ít nhất 60m; chiều dài được thiết kế gồm 50m (trong đó có ít nhất 35m ngoài trời hoặc khoảng trống) + 02m tuyến bia + 05m tuyến bắn + khu vực khán giả; Chiều rộng trường bắn không nhỏ hơn 15m, đảm bảo chứa được không ít hơn 10 bệ bắn;
b) Có phễu hoặc tấm chắn đạn đặt sát phía sau bia, làm bằng thép.
3. Quy định đối với trường bắn cự ly 25m
a) Chiều dài trường bắn ít nhất 35m; chiều dài được thiết kế gồm 25m (trong đó có ít nhất 12,5m ngoài trời hoặc khoảng trống) + 03m tuyến bia + 05m tuyến bắn + khu vực khán giả; chiều rộng trường bắn không nhỏ hơn 15m;
b) Thùng hoặc phễu chắn đạn đặt song song và cách khung bia 01m về phía sau;
c) Có lưới chắn vỏ đạn phía trước người bắn.
4. Quy định đối với trường bắn cự ly 10m dùng cho các loại súng hơi
Trường bắn có kích thước mỗi chiều không nhỏ hơn 20m; chiều dài được thiết kế gồm 10m + 20cm tuyến bia + 05m tuyến bắn + khu vực khán giả; chiều rộng đảm bảo chứa được 10 bệ bắn, mỗi bệ bắn rộng 01m và cách nhau 01m.
5. Quy định đối với trường bắn cự ly 10m dùng cho bia di động
Chiều dài trường bắn ít nhất 20m; chiều dài được thiết kế gồm 10m + 02m tuyến bia + 05m tuyến bắn + khu vực khán giả. Chiều rộng trường bắn ít nhất 10m, được chia thành 02 khoang riêng biệt, mỗi khoang rộng 03m.
6. Quy định đối với trường bắn đĩa bay
a) Trường bắn có kích thước an toàn mỗi chiều không nhỏ hơn 150m;
b) Lưới an toàn cao 03m đặt ở phía trên tường bao quanh trường bắn;
c) Đảm bảo chiều dài từ hào phóng đĩa đến vị trí đứng bắn cách nhau không nhỏ hơn 15m;
d) Khoảng cách từ vị trí đứng bắn theo hướng bắn đến tường bao quanh ít nhất 70m;
đ) Có rào chắn cách ít nhất 07m ở phía sau đường di chuyển chắn giữa khán giả và khu vực bắn.
7. Quy định đối với trường bắn đạn sơn
a) Trường bắn có kích thước mỗi chiều không nhỏ hơn 100m;
b) Bên trong trường bắn đặt ít nhất 03 mục tiêu bắn bằng một trong các chất liệu: đất, gỗ, nhựa.
(2) Cơ sở vật chất, trang thiết bị thi đấu
1. Thực hiện theo quy định tại các điểm a, b, c, d, đ, e, g và i khoản 1 và các khoản 2, 3, 4, 5, 6 và 7 Điều 3 của Thông tư này.
2. Có 20 bệ bắn trở lên đối với các trường bắn cự ly 50m, 25m và 10m.
3. Có 02 khung bắn trở lên đối với trường bắn cự ly 10m súng trường hơi di động.
(3) Mật độ tập luyện, hướng dẫn tập luyện
1. Mật độ tập luyện trên vị trí bắn bảo đảm ít nhất 01người/01m2 .
2. Mỗi người hướng dẫn tập luyện hướng dẫn không quá 10 người/buổi.
 (4) Nhân viên chuyên môn: Có đội ngũ cán bộ, nhân viên chuyên môn phù hợp với nội dung hoạt động.
Điều kiện riêng đối với doanh nghiệp kinh doanh hoạt động thể thao bắt buộc có người hướng dẫn tập luyện:
(1) Hộ kinh doanh và các tổ chức khác muốn kinh doanh hoạt động thể thao bắt buộc có người hướng dẫn tập luyện phải đăng ký thành lập doanh nghiệp.
 (2) Doanh nghiệp kinh doanh hoạt động thể thao nếu có cung cấp dịch vụ hướng dẫn tập luyện thể thao hoặc kinh doanh hoạt động thể thao thuộc Danh mục hoạt động thể thao bắt buộc có người hướng dẫn tập luyện do Bộ trưởng Bộ Văn hóa, Thể thao và Du lịch quy định phải đáp ứng các điều kiện sau đây:
Nhân viên chuyên môn của doanh nghiệp kinh doanh hoạt động thể thao bao gồm:
- Người hướng dẫn tập luyện thể thao phải đáp ứng một trong các điều kiện sau đây:
+ Là huấn luyện viên hoặc vận động viên có đẳng cấp từ cấp 2 trở lên hoặc tương đương phù hợp với hoạt động thể thao đăng ký kinh doanh;
+ Có bằng cấp về chuyên ngành thể dục thể thao từ bậc trung cấp trở lên phù hợp với hoạt động thể thao đăng ký kinh doanh;
+ Được tập huấn chuyên môn thể thao theo quy định của Bộ trưởng Bộ Văn hóa, Thể thao và Du lịch.
- Nhân viên cứu hộ.
- Nhân viên y tế.</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https://thutuc.dichvucong.gov.vn/p/home/dvc-tthc-thu-tuc-hanh-chinh-chi-tiet.html?ma_thu_tuc=2616</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2025-11-27T16:42:49Z</dcterms:created>
  <dc:creator>Apache POI</dc:creator>
</cp:coreProperties>
</file>