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1.001806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970/QĐ-BYT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Quyết định công nhận cơ sở sản xuất, kinh doanh sử dụng từ 30% tổng số lao động trở lên là người khuyết tật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Bảo trợ xã hội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1:Cơ sở sản xuất, kinh doanh sử dụng từ 30% tổng số lao động trở lên là người khuyết tật lập 01 bộ hồ sơ theo quy định, gửi (trực tiếp hoặc qua đường bưu điện) đến Sở Y tế, nơi Cơ sở có trụ sở chính.</w:t>
      </w:r>
    </w:p>
    <w:p>
      <w:pPr>
        <w:spacing w:after="0" w:before="0" w:lineRule="auto" w:line="276"/>
        <w:jc w:val="both"/>
      </w:pPr>
      <w:r>
        <w:rPr>
          <w:rFonts w:ascii="Times New Roman" w:hAnsi="Times New Roman" w:cs="Times New Roman" w:eastAsia="Times New Roman"/>
          <w:b w:val="false"/>
          <w:sz w:val="26"/>
        </w:rPr>
        <w:t>Bước 2: Trong thời hạn 10 ngày làm việc, kể từ ngày nhận đủ hồ sơ theo quy định, Sở Y tế có trách nhiệm thẩm định và quyết định công nhận cơ sở sản xuất, kinh doanh sử dụng từ 30% tổng số lao động trở lên là người khuyết tật hoặc có văn bản thông báo lý do không đủ điều kiện để công nhận cơ sở sản xuất, kinh doanh sử dụng từ 30% tổng số lao động trở lên là người khuyết tật.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trực tiếp hoặc qua đường bưu điện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trực tiếp hoặc qua đường bưu điện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của cơ sở sản xuất, kinh doanh trong đó nêu rõ tổng số lao động hiện có, số lao động là người khuyết tật; + Bản sao quyết định thành lập hoặc bản sao giấy phép hoạt động của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lao động là người khuyết tật và bản sao giấy xác nhận khuyết tật của những người khuyết tật có trong danh sách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hợp đồng lao động hoặc quyết định tuyển dụng của lao động là người khuyết tật đang làm việc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Sở Y tế</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Y tế</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công nhận cơ sở sản xuất, kinh doanh sử dụng từ 30% tổng số lao động trở lên là người khuyết tật không xác định thời hạn (BYT)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51/2010/QH12</w:t>
            </w:r>
          </w:p>
        </w:tc>
        <w:tc>
          <w:p/>
          <w:p>
            <w:pPr>
              <w:spacing w:after="0" w:before="0" w:lineRule="auto" w:line="276"/>
              <w:jc w:val="left"/>
            </w:pPr>
            <w:r>
              <w:rPr>
                <w:rFonts w:ascii="Times New Roman" w:hAnsi="Times New Roman" w:cs="Times New Roman" w:eastAsia="Times New Roman"/>
                <w:b w:val="false"/>
                <w:sz w:val="26"/>
              </w:rPr>
              <w:t>Luật 51/2010/QH12 - Người khuyết tật</w:t>
            </w:r>
          </w:p>
        </w:tc>
        <w:tc>
          <w:p/>
          <w:p>
            <w:pPr>
              <w:spacing w:after="0" w:before="0" w:lineRule="auto" w:line="276"/>
              <w:jc w:val="left"/>
            </w:pPr>
            <w:r>
              <w:rPr>
                <w:rFonts w:ascii="Times New Roman" w:hAnsi="Times New Roman" w:cs="Times New Roman" w:eastAsia="Times New Roman"/>
                <w:b w:val="false"/>
                <w:sz w:val="26"/>
              </w:rPr>
              <w:t>17-06-2010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28/2012/NĐ-CP</w:t>
            </w:r>
          </w:p>
        </w:tc>
        <w:tc>
          <w:p/>
          <w:p>
            <w:pPr>
              <w:spacing w:after="0" w:before="0" w:lineRule="auto" w:line="276"/>
              <w:jc w:val="left"/>
            </w:pPr>
            <w:r>
              <w:rPr>
                <w:rFonts w:ascii="Times New Roman" w:hAnsi="Times New Roman" w:cs="Times New Roman" w:eastAsia="Times New Roman"/>
                <w:b w:val="false"/>
                <w:sz w:val="26"/>
              </w:rPr>
              <w:t>28/2012/NĐ-CP - Quy định chi tiết và hướng dẫn thi hành một số điều của Luật Người khuyết tật</w:t>
            </w:r>
          </w:p>
        </w:tc>
        <w:tc>
          <w:p/>
          <w:p>
            <w:pPr>
              <w:spacing w:after="0" w:before="0" w:lineRule="auto" w:line="276"/>
              <w:jc w:val="left"/>
            </w:pPr>
            <w:r>
              <w:rPr>
                <w:rFonts w:ascii="Times New Roman" w:hAnsi="Times New Roman" w:cs="Times New Roman" w:eastAsia="Times New Roman"/>
                <w:b w:val="false"/>
                <w:sz w:val="26"/>
              </w:rPr>
              <w:t>10-04-2012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18/2018/TT-BLĐTBXH</w:t>
            </w:r>
          </w:p>
        </w:tc>
        <w:tc>
          <w:p/>
          <w:p>
            <w:pPr>
              <w:spacing w:after="0" w:before="0" w:lineRule="auto" w:line="276"/>
              <w:jc w:val="left"/>
            </w:pPr>
            <w:r>
              <w:rPr>
                <w:rFonts w:ascii="Times New Roman" w:hAnsi="Times New Roman" w:cs="Times New Roman" w:eastAsia="Times New Roman"/>
                <w:b w:val="false"/>
                <w:sz w:val="26"/>
              </w:rPr>
              <w:t>Thông tư 18/2018/TT-BLĐTBXH - Thông tư sửa đổi, bổ sung một số điều của các Thông tư liên quan đến thủ tục hành chính thuộc phạm vi chức năng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30-10-2018</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42/2025/NĐ-CP</w:t>
            </w:r>
          </w:p>
        </w:tc>
        <w:tc>
          <w:p/>
          <w:p>
            <w:pPr>
              <w:spacing w:after="0" w:before="0" w:lineRule="auto" w:line="276"/>
              <w:jc w:val="left"/>
            </w:pPr>
            <w:r>
              <w:rPr>
                <w:rFonts w:ascii="Times New Roman" w:hAnsi="Times New Roman" w:cs="Times New Roman" w:eastAsia="Times New Roman"/>
                <w:b w:val="false"/>
                <w:sz w:val="26"/>
              </w:rPr>
              <w:t>Nghị định số 42/2025/NĐ-CP của Chính phủ: Quy định chức năng, nhiệm vụ, quyền hạn và cơ cấu tổ chức của Bộ Y tế</w:t>
            </w:r>
          </w:p>
        </w:tc>
        <w:tc>
          <w:p/>
          <w:p>
            <w:pPr>
              <w:spacing w:after="0" w:before="0" w:lineRule="auto" w:line="276"/>
              <w:jc w:val="left"/>
            </w:pPr>
            <w:r>
              <w:rPr>
                <w:rFonts w:ascii="Times New Roman" w:hAnsi="Times New Roman" w:cs="Times New Roman" w:eastAsia="Times New Roman"/>
                <w:b w:val="false"/>
                <w:sz w:val="26"/>
              </w:rPr>
              <w:t>27-02-2025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45/2025/NĐ-CP</w:t>
            </w:r>
          </w:p>
        </w:tc>
        <w:tc>
          <w:p/>
          <w:p>
            <w:pPr>
              <w:spacing w:after="0" w:before="0" w:lineRule="auto" w:line="276"/>
              <w:jc w:val="left"/>
            </w:pPr>
            <w:r>
              <w:rPr>
                <w:rFonts w:ascii="Times New Roman" w:hAnsi="Times New Roman" w:cs="Times New Roman" w:eastAsia="Times New Roman"/>
                <w:b w:val="false"/>
                <w:sz w:val="26"/>
              </w:rPr>
              <w:t>Nghị định số 45/2025/NĐ-CP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tc>
        <w:tc>
          <w:p/>
          <w:p>
            <w:pPr>
              <w:spacing w:after="0" w:before="0" w:lineRule="auto" w:line="276"/>
              <w:jc w:val="left"/>
            </w:pPr>
            <w:r>
              <w:rPr>
                <w:rFonts w:ascii="Times New Roman" w:hAnsi="Times New Roman" w:cs="Times New Roman" w:eastAsia="Times New Roman"/>
                <w:b w:val="false"/>
                <w:sz w:val="26"/>
              </w:rPr>
              <w:t>28-02-2025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yêu cầu, điều kiện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https://thutuc.dichvucong.gov.vn/p/home/dvc-tthc-thu-tuc-hanh-chinh-chi-tiet.html?ma_thu_tuc=2625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2025-11-27T16:42:57Z</dcterms:created>
  <dc:creator>Apache POI</dc:creator>
</cp:coreProperties>
</file>