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945/QĐ-BVHTTDL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chứng chỉ hành nghề tu bổ di tích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Di sản văn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 nhân nộp trực tiếp hoặc gửi qua bưu chính 01 bộ hồ sơ đến Giám đốc Sở Văn hóa, Thể thao và Du lịch/Sở Văn hóa và Thể thao.
- Trong thời hạn 05 ngày làm việc, kể từ ngày nhận được hồ sơ theo quy định, Giám đốc Sở Văn hóa, Thể thao và Du lịch/Sở Văn hóa và Thể thao có trách nhiệm kiểm tra và yêu cầu bổ sung hồ sơ nếu thiếu hoặc không hợp lệ.
- Trong thời hạn 05 ngày làm việc, kể từ ngày nhận đủ hồ sơ hợp lệ, Giám đốc Sở Văn hóa, Thể thao và Du lịch/Sở Văn hóa và Thể thao có trách nhiệm xem xét, quyết định cấp Chứng chỉ hành nghề, đồng thời báo cáo Bộ trưởng Bộ Văn hóa, Thể thao và Du lịch.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(2) Bản sao Chứng chỉ hành nghề thiết kế quy hoạch xây dựng, hành nghề thiết kế xây dựng, hành nghề giám sát thi công xây dựng công trình, bằng tốt nghiệp đại học trở lên thuộc các chuyên ngành xây dựng, kiến trúc liên quan đến hoạt động đề nghị cấp Chứng chỉ hành nghề.</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Bản sao chứng chỉ hoặc chứng nhận đã tham gia chương trình bồi dưỡng kiến thức về tu bổ di tích;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02 ảnh màu cỡ 3x4cm chụp trong năm đề nghị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 Đơn đề nghị theo Mẫu số 02 Phụ lục II ban hành kèm theo Nghị định số 31/2024/NĐ-CP ngày 15 tháng 3 năm 2024;</w:t>
            </w:r>
          </w:p>
        </w:tc>
        <w:tc>
          <w:p/>
          <w:p>
            <w:pPr>
              <w:spacing w:after="0" w:before="0" w:lineRule="auto" w:line="276"/>
              <w:jc w:val="left"/>
            </w:pPr>
            <w:r>
              <w:rPr>
                <w:rFonts w:ascii="Times New Roman" w:hAnsi="Times New Roman" w:cs="Times New Roman" w:eastAsia="Times New Roman"/>
                <w:b w:val="false"/>
                <w:sz w:val="26"/>
              </w:rPr>
              <w:t>Phu luc 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hành nghề tu bổ di tích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32/2009/QH12</w:t>
            </w:r>
          </w:p>
        </w:tc>
        <w:tc>
          <w:p/>
          <w:p>
            <w:pPr>
              <w:spacing w:after="0" w:before="0" w:lineRule="auto" w:line="276"/>
              <w:jc w:val="left"/>
            </w:pPr>
            <w:r>
              <w:rPr>
                <w:rFonts w:ascii="Times New Roman" w:hAnsi="Times New Roman" w:cs="Times New Roman" w:eastAsia="Times New Roman"/>
                <w:b w:val="false"/>
                <w:sz w:val="26"/>
              </w:rPr>
              <w:t>Luật 32/2009/QH12 Sửa đổi, bổ sung một số điều của Luật Di sản văn hóa</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61/2016/NĐ-CP</w:t>
            </w:r>
          </w:p>
        </w:tc>
        <w:tc>
          <w:p/>
          <w:p>
            <w:pPr>
              <w:spacing w:after="0" w:before="0" w:lineRule="auto" w:line="276"/>
              <w:jc w:val="left"/>
            </w:pPr>
            <w:r>
              <w:rPr>
                <w:rFonts w:ascii="Times New Roman" w:hAnsi="Times New Roman" w:cs="Times New Roman" w:eastAsia="Times New Roman"/>
                <w:b w:val="false"/>
                <w:sz w:val="26"/>
              </w:rPr>
              <w:t>Nghị định 61/2016/NĐ-CP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28/2001/QH10</w:t>
            </w:r>
          </w:p>
        </w:tc>
        <w:tc>
          <w:p/>
          <w:p>
            <w:pPr>
              <w:spacing w:after="0" w:before="0" w:lineRule="auto" w:line="276"/>
              <w:jc w:val="left"/>
            </w:pPr>
            <w:r>
              <w:rPr>
                <w:rFonts w:ascii="Times New Roman" w:hAnsi="Times New Roman" w:cs="Times New Roman" w:eastAsia="Times New Roman"/>
                <w:b w:val="false"/>
                <w:sz w:val="26"/>
              </w:rPr>
              <w:t>Luật 28/2001/QH10</w:t>
            </w:r>
          </w:p>
        </w:tc>
        <w:tc>
          <w:p/>
          <w:p>
            <w:pPr>
              <w:spacing w:after="0" w:before="0" w:lineRule="auto" w:line="276"/>
              <w:jc w:val="left"/>
            </w:pPr>
            <w:r>
              <w:rPr>
                <w:rFonts w:ascii="Times New Roman" w:hAnsi="Times New Roman" w:cs="Times New Roman" w:eastAsia="Times New Roman"/>
                <w:b w:val="false"/>
                <w:sz w:val="26"/>
              </w:rPr>
              <w:t>29-06-2001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Chứng chỉ hành nghề tu bổ di tích (sau đây gọi chung là Chứng chỉ hành nghề) được cấp cho cá nhân khi đáp ứng các điều kiện đối với từng trường hợp cụ thể sau:
1. Chứng chỉ hành nghề lập quy hoạch tu bổ di tích:
a) Có chứng chỉ hành nghề thiết kế quy hoạch xây dựng;
b) Đã hoàn thành chương trình bồi dưỡng kiến thức về tu bổ di tích theo quy định của Bộ trưởng Bộ Văn hóa, Thể thao và Du lịch.
2. Chứng chỉ hành nghề lập dự án tu bổ di tích, báo cáo kinh tế - kỹ thuật tu bổ di tích, thiết kế tu bổ di tích:
a) Có chứng chỉ hành nghề thiết kế xây dựng; 
b) Đã hoàn thành chương trình bồi dưỡng kiến thức về tu bổ di tích theo quy định của Bộ trưởng Bộ Văn hóa, Thể thao và Du lịch.
3. Chứng chỉ hành nghề thi công tu bổ di tích:
a) Có chứng chỉ hành nghề thiết kế xây dựng hoặc người có trình độ đại học trở lên thuộc các chuyên ngành xây dựng; 
b) Đã hoàn thành chương trình bồi dưỡng kiến thức về tu bổ di tích theo quy định của Bộ trưởng Bộ Văn hóa, Thể thao và Du lịch.
4. Chứng chỉ hành nghề giám sát thi công tu bổ di tích:
a) Có chứng chỉ hành nghề giám sát thi công xây dựng công trình; 
b) Đã hoàn thành chương trình bồi dưỡng kiến thức về tu bổ di tích theo quy định của Bộ trưởng Bộ Văn hóa, Thể thao và Du lịch.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2025-11-27T16:42:57Z</dcterms:created>
  <dc:creator>Apache POI</dc:creator>
</cp:coreProperties>
</file>