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chuyển ngoại tệ ra nước ngoài trước đầu tư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Nhà đầu tư gửi trực tiếp hoặc gửi qua đường bưu điện đến NHNN Việt Nam 01 bộ hồ sơ.</w:t>
      </w:r>
    </w:p>
    <w:p>
      <w:pPr>
        <w:spacing w:after="0" w:before="0" w:lineRule="auto" w:line="276"/>
        <w:jc w:val="both"/>
      </w:pPr>
      <w:r>
        <w:rPr>
          <w:rFonts w:ascii="Times New Roman" w:hAnsi="Times New Roman" w:cs="Times New Roman" w:eastAsia="Times New Roman"/>
          <w:b w:val="false"/>
          <w:sz w:val="26"/>
        </w:rPr>
        <w:t>+ Bước 2: Trường hợp hồ sơ chưa đầy đủ, trong thời hạn 03 ngày làm việc kể từ ngày nhận được hồ sơ, NHNN Việt Nam có văn bản yêu cầu nhà đầu tư bổ sung hồ sơ.</w:t>
      </w:r>
    </w:p>
    <w:p>
      <w:pPr>
        <w:spacing w:after="0" w:before="0" w:lineRule="auto" w:line="276"/>
        <w:jc w:val="both"/>
      </w:pPr>
      <w:r>
        <w:rPr>
          <w:rFonts w:ascii="Times New Roman" w:hAnsi="Times New Roman" w:cs="Times New Roman" w:eastAsia="Times New Roman"/>
          <w:b w:val="false"/>
          <w:sz w:val="26"/>
        </w:rPr>
        <w:t>+ Bước 3: Trong thời hạn 10 ngày làm việc kể từ ngày nhận đủ hồ sơ hợp lệ, NHNN Việt Nam xem xét, chấp thuận hoặc từ chối việc chuyển ngoại tệ ra nước ngoài. Trường hợp từ chối việc chuyển ngoại tệ ra nước ngoài, NHNN Việt Nam có văn bản thông báo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10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10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chuyển ngoại tệ ra nước ngoài trước đầu tư</w:t>
            </w:r>
          </w:p>
        </w:tc>
        <w:tc>
          <w:p/>
          <w:p>
            <w:pPr>
              <w:spacing w:after="0" w:before="0" w:lineRule="auto" w:line="276"/>
              <w:jc w:val="left"/>
            </w:pPr>
            <w:r>
              <w:rPr>
                <w:rFonts w:ascii="Times New Roman" w:hAnsi="Times New Roman" w:cs="Times New Roman" w:eastAsia="Times New Roman"/>
                <w:b w:val="false"/>
                <w:sz w:val="26"/>
              </w:rPr>
              <w:t>Phuluc01.docx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Ý kiến của cơ quan đại diện chủ sở hữu áp dụng đối với: (i) Trường hợp nhà đầu tư là doanh nghiệp do nhà nước nắm giữ 100% vốn điều lệ hoặc công ty con của doanh nghiệp do nhà nước nắm giữ 100% vốn điều lệ, việc thực hiện các giao dịch quy định tại khoản này với giá trị lớn hơn 500.000 (năm trăm nghìn) Đô la Mỹ phải được NHNN Việt Nam chấp thuận sau khi có ý kiến của cơ quan đại diện chủ sở hữu (áp dụng đối với nhà đầu tư được chuyển ngoại tệ từ tài khoản ngoại tệ (chính) của mình, hàng hóa, máy móc, thiết bị ra nước ngoài để nghiên cứu thị trường, tìm kiếm cơ hội và chuẩn bị đầu tư trước khi được cấp giấy chứng nhận đăng ký đầu tư ra nước ngoài). (ii) Trường hợp nhà đầu tư là doanh nghiệp do nhà nước nắm giữ 100% vốn điều lệ hoặc công ty con của doanh nghiệp do nhà nước nắm giữ 100% vốn điều lệ, việc thực hiện các giao dịch quy định tại khoản này với giá trị lớn hơn 02 (hai) triệu Đô la Mỹ phải được NHNN Việt Nam chấp thuận sau khi có ý kiến của cơ quan đại diện chủ sở hữu (áp dụng đối với nhà đầu tư được thực hiện các giao dịch trước khi được cấp giấy chứng nhận đăng ký đầu tư ra nước ngoài để tham gia đấu thầu quốc tế hoặc các hình thức bảo đảm khác trước khi tiến hành đàm phán chính thức đối với đối tác đầu tư như: đặt cọc, kỹ quỹ hoặc các hình thức bảo lãnh tài chính khác theo yêu cầu của bên mời thầu, nước tiếp nhận đầu tư, với giá trị giao dịch nhỏ hơn hoặc bằng 02 (hai) triệu Đô la Mỹ).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kinh doanh của nhà đầu tư hoặc các văn bản, giấy tờ có giá trị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chuyển ngoại tệ ra nước ngoài trước đầu tư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124/2017/NĐ-CP</w:t>
            </w:r>
          </w:p>
        </w:tc>
        <w:tc>
          <w:p/>
          <w:p>
            <w:pPr>
              <w:spacing w:after="0" w:before="0" w:lineRule="auto" w:line="276"/>
              <w:jc w:val="left"/>
            </w:pPr>
            <w:r>
              <w:rPr>
                <w:rFonts w:ascii="Times New Roman" w:hAnsi="Times New Roman" w:cs="Times New Roman" w:eastAsia="Times New Roman"/>
                <w:b w:val="false"/>
                <w:sz w:val="26"/>
              </w:rPr>
              <w:t>Nghị định 124/2017/NĐ-CP</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31/2018/TT-NHNN</w:t>
            </w:r>
          </w:p>
        </w:tc>
        <w:tc>
          <w:p/>
          <w:p>
            <w:pPr>
              <w:spacing w:after="0" w:before="0" w:lineRule="auto" w:line="276"/>
              <w:jc w:val="left"/>
            </w:pPr>
            <w:r>
              <w:rPr>
                <w:rFonts w:ascii="Times New Roman" w:hAnsi="Times New Roman" w:cs="Times New Roman" w:eastAsia="Times New Roman"/>
                <w:b w:val="false"/>
                <w:sz w:val="26"/>
              </w:rPr>
              <w:t>Thông tư 31/2018/TT-NHNN</w:t>
            </w:r>
          </w:p>
        </w:tc>
        <w:tc>
          <w:p/>
          <w:p>
            <w:pPr>
              <w:spacing w:after="0" w:before="0" w:lineRule="auto" w:line="276"/>
              <w:jc w:val="left"/>
            </w:pPr>
            <w:r>
              <w:rPr>
                <w:rFonts w:ascii="Times New Roman" w:hAnsi="Times New Roman" w:cs="Times New Roman" w:eastAsia="Times New Roman"/>
                <w:b w:val="false"/>
                <w:sz w:val="26"/>
              </w:rPr>
              <w:t>18-12-2018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2025-11-27T16:43:06Z</dcterms:created>
  <dc:creator>Apache POI</dc:creator>
</cp:coreProperties>
</file>