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1693/QĐ-NHNN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giám định tiền không đủ tiêu chuẩn lưu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 quỹ</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trường hợp thực hiện thủ tục đổi tiền không đủ tiêu chuẩn lưu thông do quá trình bảo quản nhưng chưa xác định được được điều kiện đổi và cần giám định, trong thời gian 3 ngày làm việc kể từ ngày nhận hiện vật của khách hàng, đơn vị thu đổi (Tổ chức tín dụng, chi nhánh ngân hàng nước ngoài, Kho bạc Nhà nước) chuyển hiện vật kèm giấy đề nghị giám định (Phụ lục 02) về NHNN Khu vực trên địa bàn để giám định. Đối với Sở giao dịch NHNN chuyển hiện vật kèm giấy đề nghị giám định về Cục Phát hành và kho quỹ;</w:t>
      </w:r>
    </w:p>
    <w:p>
      <w:pPr>
        <w:spacing w:after="0" w:before="0" w:lineRule="auto" w:line="276"/>
        <w:jc w:val="both"/>
      </w:pPr>
      <w:r>
        <w:rPr>
          <w:rFonts w:ascii="Times New Roman" w:hAnsi="Times New Roman" w:cs="Times New Roman" w:eastAsia="Times New Roman"/>
          <w:b w:val="false"/>
          <w:sz w:val="26"/>
        </w:rPr>
        <w:t>Bước 2	Trong thời gian 03 ngày làm việc kể từ ngày nhận được đề nghị giám định của đơn vị thu đổi, NHNN Khu vực thông báo kết quả giám định bằng văn bản và trả hiện vật cho đơn vị đề nghị giám định. Trường hợp không giám định được thì trong 07 ngày làm việc kể từ ngày nhận được hiện vật và đề nghị giám định của đơn vị thu đổi hoặc đề nghị đổi tiền của khách hàng, NHNN Khu vực chuyển hiện vật kèm giấy đề nghị giám định về Cục Phát hành và Kho quỹ (PH&amp;KQ) hoặc Chi Cục PH&amp;KQ tại Thành phố Hồ Chí Minh giám định.</w:t>
      </w:r>
    </w:p>
    <w:p>
      <w:pPr>
        <w:spacing w:after="0" w:before="0" w:lineRule="auto" w:line="276"/>
        <w:jc w:val="both"/>
      </w:pPr>
      <w:r>
        <w:rPr>
          <w:rFonts w:ascii="Times New Roman" w:hAnsi="Times New Roman" w:cs="Times New Roman" w:eastAsia="Times New Roman"/>
          <w:b w:val="false"/>
          <w:sz w:val="26"/>
        </w:rPr>
        <w:t>Bước 3	Trong thời hạn 05 ngày làm việc kể từ ngày nhận được đề nghị giám định của NHNN Khu vực, Sở giao dịch, Cục Phát hành và Kho quỹ hoặc Chi cục Phát hành và Kho quỹ tại Tp.HCM thông báo kết quả giám định bằng văn bản và trả hiện vật cho đơn vị đề nghị giám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Từ 03 ngày làm việc cho đến 15 ngày làm việc (tùy thuộc vào từng trường hợp cụ thể).</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giám định tiền không đủ tiêu chuẩn lưu thông (Phụ lục 02).</w:t>
            </w:r>
          </w:p>
        </w:tc>
        <w:tc>
          <w:p/>
          <w:p>
            <w:pPr>
              <w:spacing w:after="0" w:before="0" w:lineRule="auto" w:line="276"/>
              <w:jc w:val="left"/>
            </w:pPr>
            <w:r>
              <w:rPr>
                <w:rFonts w:ascii="Times New Roman" w:hAnsi="Times New Roman" w:cs="Times New Roman" w:eastAsia="Times New Roman"/>
                <w:b w:val="false"/>
                <w:sz w:val="26"/>
              </w:rPr>
              <w:t>Phụ lục 02.TT25.2013.doc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kết quả giám định tiền không đủ tiêu chuẩn lưu thông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25/2013/TT-NHNN</w:t>
            </w:r>
          </w:p>
        </w:tc>
        <w:tc>
          <w:p/>
          <w:p>
            <w:pPr>
              <w:spacing w:after="0" w:before="0" w:lineRule="auto" w:line="276"/>
              <w:jc w:val="left"/>
            </w:pPr>
            <w:r>
              <w:rPr>
                <w:rFonts w:ascii="Times New Roman" w:hAnsi="Times New Roman" w:cs="Times New Roman" w:eastAsia="Times New Roman"/>
                <w:b w:val="false"/>
                <w:sz w:val="26"/>
              </w:rPr>
              <w:t>Thông tư 25/2013/TT-NHNN</w:t>
            </w:r>
          </w:p>
        </w:tc>
        <w:tc>
          <w:p/>
          <w:p>
            <w:pPr>
              <w:spacing w:after="0" w:before="0" w:lineRule="auto" w:line="276"/>
              <w:jc w:val="left"/>
            </w:pPr>
            <w:r>
              <w:rPr>
                <w:rFonts w:ascii="Times New Roman" w:hAnsi="Times New Roman" w:cs="Times New Roman" w:eastAsia="Times New Roman"/>
                <w:b w:val="false"/>
                <w:sz w:val="26"/>
              </w:rPr>
              <w:t>02-12-2013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2025-11-27T16:43:12Z</dcterms:created>
  <dc:creator>Apache POI</dc:creator>
</cp:coreProperties>
</file>