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1858/QĐ-BTP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hành nghề quản lý, thanh lý tài sản đối với doanh nghiệp quản lý, thanh lý tài sản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tài viên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Doanh nghiệp quản lý, thanh lý tài sản gửi hồ sơ đề nghị đăng ký hành nghề quản lý, thanh lý tài sản đến Sở Tư pháp tỉnh, thành phố trực thuộc Trung ương nơi doanh nghiệp đặt trụ sở.
Trong thời hạn 07 ngày làm việc, kể từ ngày nhận đủ hồ sơ hợp lệ, Sở Tư pháp quyết định ghi tên người đề nghị đăng ký vào danh sách Quản tài viên, doanh nghiệp hành nghề quản lý, thanh lý tài sản và thông báo bằng văn bản cho người đó; trong trường hợp từ chối thì phải thông báo lý do bằng văn bản. Người bị từ chối có quyền khiếu nại, khởi kiện theo quy định của pháp luật.
Trong quá trình thẩm tra hồ sơ đề nghị đăng ký hành nghề quản lý, thanh lý tài sản đối với doanh nghiệp, trong trường hợp cần thiết, cơ quan có thẩm quyền đăng ký hành nghề quản lý, thanh lý tài sản đối với doanh nghiệp có quyền yêu cầu cơ quan cấp Phiếu lý lịch tư pháp cấp Phiếu lý lịch tư pháp số 1 của thành viên hợp danh, Tổng giám đốc hoặc Giám đốc của công ty hợp danh, những người khác hành nghề quản lý, thanh lý tài sản trong công ty hợp danh (nếu có); chủ doanh nghiệp tư nhân, những người khác hành nghề quản lý.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Lệ phí : 500.000 Đồng</w:t>
              <w:t xml:space="preserve"> (Phí thẩm định điều kiện hoạt động quản lý, thanh lý tài sản đối với quản tài viên đăng ký hành nghề quản lý, thanh lý tài sản với tư cách cá nhân và doanh nghiệp đăng ký hành nghề quản lý, thanh lý tài sản)</w:t>
              <w:br/>
              <w:t>File đính kèm: VanBanGoc_224-2016-TT-BTC.pdf</w:t>
            </w:r>
          </w:p>
        </w:tc>
        <w:tc>
          <w:p/>
          <w:p>
            <w:pPr>
              <w:spacing w:after="0" w:before="0" w:lineRule="auto" w:line="276"/>
              <w:jc w:val="left"/>
            </w:pPr>
            <w:r>
              <w:rPr>
                <w:rFonts w:ascii="Times New Roman" w:hAnsi="Times New Roman" w:cs="Times New Roman" w:eastAsia="Times New Roman"/>
                <w:b w:val="false"/>
                <w:sz w:val="26"/>
              </w:rPr>
              <w:t>Doanh nghiệp quản lý, thanh lý tài sản nộp hồ sơ đề nghị đăng ký hành nghề quản lý, thanh lý tài sản trực tiếp đến Sở Tư pháp tỉnh, thành phố trực thuộc trung ương nơi doanh nghiệp đặt trụ sở và nộp phí theo quy định của pháp luật.</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500000 Đồng</w:t>
            </w:r>
          </w:p>
        </w:tc>
        <w:tc>
          <w:p/>
          <w:p>
            <w:pPr>
              <w:spacing w:after="0" w:before="0" w:lineRule="auto" w:line="276"/>
              <w:jc w:val="left"/>
            </w:pPr>
            <w:r>
              <w:rPr>
                <w:rFonts w:ascii="Times New Roman" w:hAnsi="Times New Roman" w:cs="Times New Roman" w:eastAsia="Times New Roman"/>
                <w:b w:val="false"/>
                <w:sz w:val="26"/>
              </w:rPr>
              <w:t>Doanh nghiệp quản lý, thanh lý tài sản nộp hồ sơ đề nghị đăng ký hành nghề quản lý, thanh lý tài sản trực tuyến trên Cổng Dịch vụ công quốc gia đến Sở Tư pháp tỉnh, thành phố trực thuộc trung ương nơi doanh nghiệp đặt trụ sở và nộp phí theo quy định của pháp luật.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Lệ phí : 500.000 Đồng</w:t>
              <w:t xml:space="preserve"> (Phí thẩm định điều kiện hoạt động quản lý, thanh lý tài sản đối với quản tài viên đăng ký hành nghề quản lý, thanh lý tài sản với tư cách cá nhân và doanh nghiệp đăng ký hành nghề quản lý, thanh lý tài sản)</w:t>
            </w:r>
          </w:p>
        </w:tc>
        <w:tc>
          <w:p/>
          <w:p>
            <w:pPr>
              <w:spacing w:after="0" w:before="0" w:lineRule="auto" w:line="276"/>
              <w:jc w:val="left"/>
            </w:pPr>
            <w:r>
              <w:rPr>
                <w:rFonts w:ascii="Times New Roman" w:hAnsi="Times New Roman" w:cs="Times New Roman" w:eastAsia="Times New Roman"/>
                <w:b w:val="false"/>
                <w:sz w:val="26"/>
              </w:rPr>
              <w:t>Doanh nghiệp quản lý, thanh lý tài sản nộp hồ sơ đề nghị đăng ký hành nghề quản lý, thanh lý tài sản qua dịch vụ bưu chính đến Sở Tư pháp tỉnh, thành phố trực thuộc trung ương nơi doanh nghiệp đặt trụ sở và nộp phí theo quy định của pháp luật.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đăng ký hành nghề quản lý, thanh lý tài sản</w:t>
            </w:r>
          </w:p>
        </w:tc>
        <w:tc>
          <w:p/>
          <w:p>
            <w:pPr>
              <w:spacing w:after="0" w:before="0" w:lineRule="auto" w:line="276"/>
              <w:jc w:val="left"/>
            </w:pPr>
            <w:r>
              <w:rPr>
                <w:rFonts w:ascii="Times New Roman" w:hAnsi="Times New Roman" w:cs="Times New Roman" w:eastAsia="Times New Roman"/>
                <w:b w:val="false"/>
                <w:sz w:val="26"/>
              </w:rPr>
              <w:t>MauTP-QTV-05.docx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kèm bản chính để đối chiếu hoặc bản sao điện tử hoặc bản sao điện tử có chứng thực từ bản chính hoặc bản sao có chứng thực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ghi tên doanh nghiệp vào danh sách Quản tài viên, doanh nghiệp hành nghề quản lý, thanh lý tài sản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51/2014/QH13</w:t>
            </w:r>
          </w:p>
        </w:tc>
        <w:tc>
          <w:p/>
          <w:p>
            <w:pPr>
              <w:spacing w:after="0" w:before="0" w:lineRule="auto" w:line="276"/>
              <w:jc w:val="left"/>
            </w:pPr>
            <w:r>
              <w:rPr>
                <w:rFonts w:ascii="Times New Roman" w:hAnsi="Times New Roman" w:cs="Times New Roman" w:eastAsia="Times New Roman"/>
                <w:b w:val="false"/>
                <w:sz w:val="26"/>
              </w:rPr>
              <w:t>Luật 51/2014/QH13-Phá sản</w:t>
            </w:r>
          </w:p>
        </w:tc>
        <w:tc>
          <w:p/>
          <w:p>
            <w:pPr>
              <w:spacing w:after="0" w:before="0" w:lineRule="auto" w:line="276"/>
              <w:jc w:val="left"/>
            </w:pPr>
            <w:r>
              <w:rPr>
                <w:rFonts w:ascii="Times New Roman" w:hAnsi="Times New Roman" w:cs="Times New Roman" w:eastAsia="Times New Roman"/>
                <w:b w:val="false"/>
                <w:sz w:val="26"/>
              </w:rPr>
              <w:t>19-06-2014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224/2016/TT-BTC</w:t>
            </w:r>
          </w:p>
        </w:tc>
        <w:tc>
          <w:p/>
          <w:p>
            <w:pPr>
              <w:spacing w:after="0" w:before="0" w:lineRule="auto" w:line="276"/>
              <w:jc w:val="left"/>
            </w:pPr>
            <w:r>
              <w:rPr>
                <w:rFonts w:ascii="Times New Roman" w:hAnsi="Times New Roman" w:cs="Times New Roman" w:eastAsia="Times New Roman"/>
                <w:b w:val="false"/>
                <w:sz w:val="26"/>
              </w:rPr>
              <w:t>Thông tư 224/2016/TT-BTC-Quy định mức thu, chế độ thu, nộp, quản lý và sử dụng phí thẩm định tiêu chuẩn, điều kiện hành nghề, hoạt động quản lý, thanh lý tài sản; lệ phí cấp chứng chỉ hành nghề quản tài viên</w:t>
            </w:r>
          </w:p>
        </w:tc>
        <w:tc>
          <w:p/>
          <w:p>
            <w:pPr>
              <w:spacing w:after="0" w:before="0" w:lineRule="auto" w:line="276"/>
              <w:jc w:val="left"/>
            </w:pPr>
            <w:r>
              <w:rPr>
                <w:rFonts w:ascii="Times New Roman" w:hAnsi="Times New Roman" w:cs="Times New Roman" w:eastAsia="Times New Roman"/>
                <w:b w:val="false"/>
                <w:sz w:val="26"/>
              </w:rPr>
              <w:t>10-11-2016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22/2015/NĐ-CP</w:t>
            </w:r>
          </w:p>
        </w:tc>
        <w:tc>
          <w:p/>
          <w:p>
            <w:pPr>
              <w:spacing w:after="0" w:before="0" w:lineRule="auto" w:line="276"/>
              <w:jc w:val="left"/>
            </w:pPr>
            <w:r>
              <w:rPr>
                <w:rFonts w:ascii="Times New Roman" w:hAnsi="Times New Roman" w:cs="Times New Roman" w:eastAsia="Times New Roman"/>
                <w:b w:val="false"/>
                <w:sz w:val="26"/>
              </w:rPr>
              <w:t>Nghị định 22/2015/NĐ-CP-Quy định chi tiết thi hành một số điều của Luật Phá sản về Quản tài viên và hành nghề quản lý, thanh lý tài sản</w:t>
            </w:r>
          </w:p>
        </w:tc>
        <w:tc>
          <w:p/>
          <w:p>
            <w:pPr>
              <w:spacing w:after="0" w:before="0" w:lineRule="auto" w:line="276"/>
              <w:jc w:val="left"/>
            </w:pPr>
            <w:r>
              <w:rPr>
                <w:rFonts w:ascii="Times New Roman" w:hAnsi="Times New Roman" w:cs="Times New Roman" w:eastAsia="Times New Roman"/>
                <w:b w:val="false"/>
                <w:sz w:val="26"/>
              </w:rPr>
              <w:t>16-02-2015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112/2025/NĐ-CP</w:t>
            </w:r>
          </w:p>
        </w:tc>
        <w:tc>
          <w:p/>
          <w:p>
            <w:pPr>
              <w:spacing w:after="0" w:before="0" w:lineRule="auto" w:line="276"/>
              <w:jc w:val="left"/>
            </w:pPr>
            <w:r>
              <w:rPr>
                <w:rFonts w:ascii="Times New Roman" w:hAnsi="Times New Roman" w:cs="Times New Roman" w:eastAsia="Times New Roman"/>
                <w:b w:val="false"/>
                <w:sz w:val="26"/>
              </w:rPr>
              <w:t>Nghị định số 112/2025/NĐ-CP ngày 29/5/2025 của Chính phủ sửa đổi, bổ sung một số điều của các Nghị định thuộc lĩnh vực bổ trợ tư pháp</w:t>
            </w:r>
          </w:p>
        </w:tc>
        <w:tc>
          <w:p/>
          <w:p>
            <w:pPr>
              <w:spacing w:after="0" w:before="0" w:lineRule="auto" w:line="276"/>
              <w:jc w:val="left"/>
            </w:pPr>
            <w:r>
              <w:rPr>
                <w:rFonts w:ascii="Times New Roman" w:hAnsi="Times New Roman" w:cs="Times New Roman" w:eastAsia="Times New Roman"/>
                <w:b w:val="false"/>
                <w:sz w:val="26"/>
              </w:rPr>
              <w:t>29-05-2025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2025-11-27T16:43:15Z</dcterms:created>
  <dc:creator>Apache POI</dc:creator>
</cp:coreProperties>
</file>