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322DF" w:rsidRDefault="00AD5BFA">
      <w:pPr>
        <w:spacing w:after="300" w:line="276" w:lineRule="auto"/>
        <w:jc w:val="center"/>
      </w:pPr>
      <w:r>
        <w:rPr>
          <w:rFonts w:ascii="Times New Roman" w:eastAsia="Times New Roman" w:hAnsi="Times New Roman" w:cs="Times New Roman"/>
          <w:b/>
          <w:sz w:val="26"/>
        </w:rPr>
        <w:t>Chi tiết thủ tục hành chính</w:t>
      </w:r>
    </w:p>
    <w:p w:rsidR="002322DF" w:rsidRDefault="00AD5BFA">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1.001869</w:t>
      </w:r>
    </w:p>
    <w:p w:rsidR="002322DF" w:rsidRDefault="00AD5BFA">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1385a/QĐ-NHNN</w:t>
      </w:r>
    </w:p>
    <w:p w:rsidR="002322DF" w:rsidRDefault="00AD5BFA">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Thủ tục chấp thuận tạm ngừng giao dịch từ 05 ngày làm việc trở lên (trừ trường hợp tạm ngừng giao dịch do sự kiện bất khả kháng) của tổ chức tín dụng phi ngân hàng</w:t>
      </w:r>
    </w:p>
    <w:p w:rsidR="002322DF" w:rsidRDefault="00AD5BFA">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2322DF" w:rsidRDefault="00AD5BFA">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2322DF" w:rsidRDefault="00AD5BFA">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Thành lập và hoạt động ngân hàng</w:t>
      </w:r>
    </w:p>
    <w:p w:rsidR="002322DF" w:rsidRDefault="00AD5BFA">
      <w:pPr>
        <w:spacing w:after="0" w:line="276" w:lineRule="auto"/>
        <w:jc w:val="both"/>
      </w:pPr>
      <w:r>
        <w:rPr>
          <w:rFonts w:ascii="Times New Roman" w:eastAsia="Times New Roman" w:hAnsi="Times New Roman" w:cs="Times New Roman"/>
          <w:b/>
          <w:sz w:val="26"/>
        </w:rPr>
        <w:t xml:space="preserve">Trình tự thực hiện: </w:t>
      </w:r>
    </w:p>
    <w:p w:rsidR="002322DF" w:rsidRDefault="002322DF">
      <w:pPr>
        <w:shd w:val="clear" w:color="auto" w:fill="F2F6F9"/>
        <w:spacing w:before="120" w:after="0" w:line="276" w:lineRule="auto"/>
        <w:jc w:val="both"/>
      </w:pPr>
    </w:p>
    <w:p w:rsidR="002322DF" w:rsidRDefault="00AD5BFA">
      <w:pPr>
        <w:spacing w:after="0" w:line="276" w:lineRule="auto"/>
        <w:jc w:val="both"/>
      </w:pPr>
      <w:r>
        <w:rPr>
          <w:rFonts w:ascii="Times New Roman" w:eastAsia="Times New Roman" w:hAnsi="Times New Roman" w:cs="Times New Roman"/>
          <w:sz w:val="26"/>
        </w:rPr>
        <w:t>Bước 1: Tối thiểu 30 ngày trước ngày dự kiến tạm ngừng giao dịch, tổ chức tín dụng phi ngân hàng gửi hồ sơ qua dịch vụ bưu chính hoặc nộp trực tiếp tại Bộ phận Một cửa của Ngân hàng Nhà nước Khu vực nơi tổ chức tín dụng phi ngân hàng đặt trụ sở chính.  Bước 2: Trường hợp hồ sơ chưa đầy đủ, hợp lệ, trong thời hạn 10 ngày kể từ ngày nhận được hồ sơ, Ngân hàng Nhà nước Khu vực có văn bản yêu cầu tổ chức tín dụng phi ngân hàng bổ sung hồ sơ; Bước 3: Trong thời hạn 15 ngày kể từ ngày nhận đủ hồ sơ hợp lệ, Ngân h</w:t>
      </w:r>
      <w:r>
        <w:rPr>
          <w:rFonts w:ascii="Times New Roman" w:eastAsia="Times New Roman" w:hAnsi="Times New Roman" w:cs="Times New Roman"/>
          <w:sz w:val="26"/>
        </w:rPr>
        <w:t>àng Nhà nước Khu vực xem xét, có văn bản chấp thuận hoặc không chấp thuận đề nghị của tổ chức tín dụng phi ngân hàng. Trường hợp từ chối, Ngân hàng Nhà nước Khu vực trả lời bằng văn bản và nêu rõ lý do.</w:t>
      </w:r>
    </w:p>
    <w:p w:rsidR="002322DF" w:rsidRDefault="00AD5BFA">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22"/>
        <w:gridCol w:w="1664"/>
        <w:gridCol w:w="2748"/>
        <w:gridCol w:w="3377"/>
      </w:tblGrid>
      <w:tr w:rsidR="002322DF">
        <w:tblPrEx>
          <w:tblCellMar>
            <w:top w:w="0" w:type="dxa"/>
            <w:bottom w:w="0" w:type="dxa"/>
          </w:tblCellMar>
        </w:tblPrEx>
        <w:tc>
          <w:tcPr>
            <w:tcW w:w="1500" w:type="dxa"/>
          </w:tcPr>
          <w:p w:rsidR="002322DF" w:rsidRDefault="002322DF"/>
          <w:p w:rsidR="002322DF" w:rsidRDefault="00AD5BFA">
            <w:pPr>
              <w:spacing w:after="0" w:line="276" w:lineRule="auto"/>
              <w:jc w:val="center"/>
            </w:pPr>
            <w:r>
              <w:rPr>
                <w:rFonts w:ascii="Times New Roman" w:eastAsia="Times New Roman" w:hAnsi="Times New Roman" w:cs="Times New Roman"/>
                <w:b/>
                <w:sz w:val="26"/>
              </w:rPr>
              <w:t>Hình thức nộp</w:t>
            </w:r>
          </w:p>
        </w:tc>
        <w:tc>
          <w:tcPr>
            <w:tcW w:w="2000" w:type="dxa"/>
          </w:tcPr>
          <w:p w:rsidR="002322DF" w:rsidRDefault="002322DF"/>
          <w:p w:rsidR="002322DF" w:rsidRDefault="00AD5BFA">
            <w:pPr>
              <w:spacing w:after="0" w:line="276" w:lineRule="auto"/>
              <w:jc w:val="center"/>
            </w:pPr>
            <w:r>
              <w:rPr>
                <w:rFonts w:ascii="Times New Roman" w:eastAsia="Times New Roman" w:hAnsi="Times New Roman" w:cs="Times New Roman"/>
                <w:b/>
                <w:sz w:val="26"/>
              </w:rPr>
              <w:t>Thời hạn giải quyết</w:t>
            </w:r>
          </w:p>
        </w:tc>
        <w:tc>
          <w:tcPr>
            <w:tcW w:w="3500" w:type="dxa"/>
          </w:tcPr>
          <w:p w:rsidR="002322DF" w:rsidRDefault="002322DF"/>
          <w:p w:rsidR="002322DF" w:rsidRDefault="00AD5BFA">
            <w:pPr>
              <w:spacing w:after="0" w:line="276" w:lineRule="auto"/>
              <w:jc w:val="center"/>
            </w:pPr>
            <w:r>
              <w:rPr>
                <w:rFonts w:ascii="Times New Roman" w:eastAsia="Times New Roman" w:hAnsi="Times New Roman" w:cs="Times New Roman"/>
                <w:b/>
                <w:sz w:val="26"/>
              </w:rPr>
              <w:t>Phí, lệ phí</w:t>
            </w:r>
          </w:p>
        </w:tc>
        <w:tc>
          <w:tcPr>
            <w:tcW w:w="3000" w:type="dxa"/>
          </w:tcPr>
          <w:p w:rsidR="002322DF" w:rsidRDefault="002322DF"/>
          <w:p w:rsidR="002322DF" w:rsidRDefault="00AD5BFA">
            <w:pPr>
              <w:spacing w:after="0" w:line="276" w:lineRule="auto"/>
              <w:jc w:val="center"/>
            </w:pPr>
            <w:r>
              <w:rPr>
                <w:rFonts w:ascii="Times New Roman" w:eastAsia="Times New Roman" w:hAnsi="Times New Roman" w:cs="Times New Roman"/>
                <w:b/>
                <w:sz w:val="26"/>
              </w:rPr>
              <w:t>Mô tả</w:t>
            </w:r>
          </w:p>
        </w:tc>
      </w:tr>
      <w:tr w:rsidR="002322DF">
        <w:tblPrEx>
          <w:tblCellMar>
            <w:top w:w="0" w:type="dxa"/>
            <w:bottom w:w="0" w:type="dxa"/>
          </w:tblCellMar>
        </w:tblPrEx>
        <w:tc>
          <w:tcPr>
            <w:tcW w:w="0" w:type="auto"/>
          </w:tcPr>
          <w:p w:rsidR="002322DF" w:rsidRDefault="002322DF"/>
          <w:p w:rsidR="002322DF" w:rsidRDefault="00AD5BFA">
            <w:pPr>
              <w:spacing w:after="0" w:line="276" w:lineRule="auto"/>
            </w:pPr>
            <w:r>
              <w:rPr>
                <w:rFonts w:ascii="Times New Roman" w:eastAsia="Times New Roman" w:hAnsi="Times New Roman" w:cs="Times New Roman"/>
                <w:sz w:val="26"/>
              </w:rPr>
              <w:t>Trực tiếp</w:t>
            </w:r>
          </w:p>
        </w:tc>
        <w:tc>
          <w:tcPr>
            <w:tcW w:w="0" w:type="auto"/>
          </w:tcPr>
          <w:p w:rsidR="002322DF" w:rsidRDefault="002322DF"/>
          <w:p w:rsidR="002322DF" w:rsidRDefault="00AD5BFA">
            <w:pPr>
              <w:spacing w:after="0" w:line="276" w:lineRule="auto"/>
            </w:pPr>
            <w:r>
              <w:rPr>
                <w:rFonts w:ascii="Times New Roman" w:eastAsia="Times New Roman" w:hAnsi="Times New Roman" w:cs="Times New Roman"/>
                <w:sz w:val="26"/>
              </w:rPr>
              <w:t>15 Ngày</w:t>
            </w:r>
          </w:p>
        </w:tc>
        <w:tc>
          <w:tcPr>
            <w:tcW w:w="0" w:type="auto"/>
          </w:tcPr>
          <w:p w:rsidR="002322DF" w:rsidRDefault="002322DF"/>
          <w:p w:rsidR="002322DF" w:rsidRDefault="002322DF">
            <w:pPr>
              <w:spacing w:after="0" w:line="276" w:lineRule="auto"/>
            </w:pPr>
          </w:p>
        </w:tc>
        <w:tc>
          <w:tcPr>
            <w:tcW w:w="0" w:type="auto"/>
          </w:tcPr>
          <w:p w:rsidR="002322DF" w:rsidRDefault="002322DF"/>
          <w:p w:rsidR="002322DF" w:rsidRDefault="00AD5BFA">
            <w:pPr>
              <w:spacing w:after="0" w:line="276" w:lineRule="auto"/>
            </w:pPr>
            <w:r>
              <w:rPr>
                <w:rFonts w:ascii="Times New Roman" w:eastAsia="Times New Roman" w:hAnsi="Times New Roman" w:cs="Times New Roman"/>
                <w:sz w:val="26"/>
              </w:rPr>
              <w:t>15 ngày kể từ ngày nhận đủ hồ sơ hợp lệ.</w:t>
            </w:r>
          </w:p>
        </w:tc>
      </w:tr>
      <w:tr w:rsidR="002322DF">
        <w:tblPrEx>
          <w:tblCellMar>
            <w:top w:w="0" w:type="dxa"/>
            <w:bottom w:w="0" w:type="dxa"/>
          </w:tblCellMar>
        </w:tblPrEx>
        <w:tc>
          <w:tcPr>
            <w:tcW w:w="0" w:type="auto"/>
          </w:tcPr>
          <w:p w:rsidR="002322DF" w:rsidRDefault="002322DF"/>
          <w:p w:rsidR="002322DF" w:rsidRDefault="00AD5BFA">
            <w:pPr>
              <w:spacing w:after="0" w:line="276" w:lineRule="auto"/>
            </w:pPr>
            <w:r>
              <w:rPr>
                <w:rFonts w:ascii="Times New Roman" w:eastAsia="Times New Roman" w:hAnsi="Times New Roman" w:cs="Times New Roman"/>
                <w:sz w:val="26"/>
              </w:rPr>
              <w:t>Dịch vụ bưu chính</w:t>
            </w:r>
          </w:p>
        </w:tc>
        <w:tc>
          <w:tcPr>
            <w:tcW w:w="0" w:type="auto"/>
          </w:tcPr>
          <w:p w:rsidR="002322DF" w:rsidRDefault="002322DF"/>
          <w:p w:rsidR="002322DF" w:rsidRDefault="00AD5BFA">
            <w:pPr>
              <w:spacing w:after="0" w:line="276" w:lineRule="auto"/>
            </w:pPr>
            <w:r>
              <w:rPr>
                <w:rFonts w:ascii="Times New Roman" w:eastAsia="Times New Roman" w:hAnsi="Times New Roman" w:cs="Times New Roman"/>
                <w:sz w:val="26"/>
              </w:rPr>
              <w:t>15 Ngày</w:t>
            </w:r>
          </w:p>
        </w:tc>
        <w:tc>
          <w:tcPr>
            <w:tcW w:w="0" w:type="auto"/>
          </w:tcPr>
          <w:p w:rsidR="002322DF" w:rsidRDefault="002322DF"/>
          <w:p w:rsidR="002322DF" w:rsidRDefault="002322DF">
            <w:pPr>
              <w:spacing w:after="0" w:line="276" w:lineRule="auto"/>
            </w:pPr>
          </w:p>
        </w:tc>
        <w:tc>
          <w:tcPr>
            <w:tcW w:w="0" w:type="auto"/>
          </w:tcPr>
          <w:p w:rsidR="002322DF" w:rsidRDefault="002322DF"/>
          <w:p w:rsidR="002322DF" w:rsidRDefault="00AD5BFA">
            <w:pPr>
              <w:spacing w:after="0" w:line="276" w:lineRule="auto"/>
            </w:pPr>
            <w:r>
              <w:rPr>
                <w:rFonts w:ascii="Times New Roman" w:eastAsia="Times New Roman" w:hAnsi="Times New Roman" w:cs="Times New Roman"/>
                <w:sz w:val="26"/>
              </w:rPr>
              <w:t>15 ngày kể từ ngày nhận đủ hồ sơ hợp lệ.</w:t>
            </w:r>
          </w:p>
        </w:tc>
      </w:tr>
    </w:tbl>
    <w:p w:rsidR="002322DF" w:rsidRDefault="00AD5BFA">
      <w:pPr>
        <w:spacing w:before="240" w:after="0" w:line="276" w:lineRule="auto"/>
        <w:jc w:val="both"/>
      </w:pPr>
      <w:r>
        <w:rPr>
          <w:rFonts w:ascii="Times New Roman" w:eastAsia="Times New Roman" w:hAnsi="Times New Roman" w:cs="Times New Roman"/>
          <w:b/>
          <w:sz w:val="26"/>
        </w:rPr>
        <w:t xml:space="preserve">Thành phần hồ sơ: </w:t>
      </w:r>
    </w:p>
    <w:p w:rsidR="002322DF" w:rsidRDefault="00AD5BFA">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580"/>
        <w:gridCol w:w="865"/>
        <w:gridCol w:w="966"/>
      </w:tblGrid>
      <w:tr w:rsidR="002322DF">
        <w:tblPrEx>
          <w:tblCellMar>
            <w:top w:w="0" w:type="dxa"/>
            <w:bottom w:w="0" w:type="dxa"/>
          </w:tblCellMar>
        </w:tblPrEx>
        <w:tc>
          <w:tcPr>
            <w:tcW w:w="6000" w:type="dxa"/>
          </w:tcPr>
          <w:p w:rsidR="002322DF" w:rsidRDefault="002322DF"/>
          <w:p w:rsidR="002322DF" w:rsidRDefault="00AD5BFA">
            <w:pPr>
              <w:spacing w:after="0" w:line="276" w:lineRule="auto"/>
              <w:jc w:val="center"/>
            </w:pPr>
            <w:r>
              <w:rPr>
                <w:rFonts w:ascii="Times New Roman" w:eastAsia="Times New Roman" w:hAnsi="Times New Roman" w:cs="Times New Roman"/>
                <w:b/>
                <w:sz w:val="26"/>
              </w:rPr>
              <w:t>Tên giấy tờ</w:t>
            </w:r>
          </w:p>
        </w:tc>
        <w:tc>
          <w:tcPr>
            <w:tcW w:w="2000" w:type="dxa"/>
          </w:tcPr>
          <w:p w:rsidR="002322DF" w:rsidRDefault="002322DF"/>
          <w:p w:rsidR="002322DF" w:rsidRDefault="00AD5BFA">
            <w:pPr>
              <w:spacing w:after="0" w:line="276" w:lineRule="auto"/>
              <w:jc w:val="center"/>
            </w:pPr>
            <w:r>
              <w:rPr>
                <w:rFonts w:ascii="Times New Roman" w:eastAsia="Times New Roman" w:hAnsi="Times New Roman" w:cs="Times New Roman"/>
                <w:b/>
                <w:sz w:val="26"/>
              </w:rPr>
              <w:t xml:space="preserve">Mẫu </w:t>
            </w:r>
            <w:r>
              <w:rPr>
                <w:rFonts w:ascii="Times New Roman" w:eastAsia="Times New Roman" w:hAnsi="Times New Roman" w:cs="Times New Roman"/>
                <w:b/>
                <w:sz w:val="26"/>
              </w:rPr>
              <w:lastRenderedPageBreak/>
              <w:t>đơn, tờ khai</w:t>
            </w:r>
          </w:p>
        </w:tc>
        <w:tc>
          <w:tcPr>
            <w:tcW w:w="2000" w:type="dxa"/>
          </w:tcPr>
          <w:p w:rsidR="002322DF" w:rsidRDefault="002322DF"/>
          <w:p w:rsidR="002322DF" w:rsidRDefault="00AD5BFA">
            <w:pPr>
              <w:spacing w:after="0" w:line="276" w:lineRule="auto"/>
              <w:jc w:val="center"/>
            </w:pPr>
            <w:r>
              <w:rPr>
                <w:rFonts w:ascii="Times New Roman" w:eastAsia="Times New Roman" w:hAnsi="Times New Roman" w:cs="Times New Roman"/>
                <w:b/>
                <w:sz w:val="26"/>
              </w:rPr>
              <w:t xml:space="preserve">Số </w:t>
            </w:r>
            <w:r>
              <w:rPr>
                <w:rFonts w:ascii="Times New Roman" w:eastAsia="Times New Roman" w:hAnsi="Times New Roman" w:cs="Times New Roman"/>
                <w:b/>
                <w:sz w:val="26"/>
              </w:rPr>
              <w:lastRenderedPageBreak/>
              <w:t>lượng</w:t>
            </w:r>
          </w:p>
        </w:tc>
      </w:tr>
      <w:tr w:rsidR="002322DF">
        <w:tblPrEx>
          <w:tblCellMar>
            <w:top w:w="0" w:type="dxa"/>
            <w:bottom w:w="0" w:type="dxa"/>
          </w:tblCellMar>
        </w:tblPrEx>
        <w:tc>
          <w:tcPr>
            <w:tcW w:w="0" w:type="auto"/>
          </w:tcPr>
          <w:p w:rsidR="002322DF" w:rsidRDefault="002322DF"/>
          <w:p w:rsidR="002322DF" w:rsidRDefault="00AD5BFA">
            <w:pPr>
              <w:spacing w:after="0" w:line="276" w:lineRule="auto"/>
            </w:pPr>
            <w:r>
              <w:rPr>
                <w:rFonts w:ascii="Times New Roman" w:eastAsia="Times New Roman" w:hAnsi="Times New Roman" w:cs="Times New Roman"/>
                <w:sz w:val="26"/>
              </w:rPr>
              <w:t>a) Văn bản đề nghị chấp thuận tạm ngừng giao dịch do người đại diện hợp pháp của tổ chức tín dụng phi ngân hàng ký, trong đó bao gồm tối thiểu các nội dung: Số ngày và thời gian dự kiến tạm ngừng giao dịch; lý do của việc tạm ngừng giao dịch; các giải pháp dự kiến thực hiện để giảm thiểu tối đa ảnh hưởng của việc tạm ngừng giao dịch đến quyền và lợi ích của khách hàng;</w:t>
            </w:r>
          </w:p>
        </w:tc>
        <w:tc>
          <w:tcPr>
            <w:tcW w:w="0" w:type="auto"/>
          </w:tcPr>
          <w:p w:rsidR="002322DF" w:rsidRDefault="002322DF"/>
        </w:tc>
        <w:tc>
          <w:tcPr>
            <w:tcW w:w="0" w:type="auto"/>
          </w:tcPr>
          <w:p w:rsidR="002322DF" w:rsidRDefault="002322DF"/>
          <w:p w:rsidR="002322DF" w:rsidRDefault="00AD5BF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2322DF">
        <w:tblPrEx>
          <w:tblCellMar>
            <w:top w:w="0" w:type="dxa"/>
            <w:bottom w:w="0" w:type="dxa"/>
          </w:tblCellMar>
        </w:tblPrEx>
        <w:tc>
          <w:tcPr>
            <w:tcW w:w="0" w:type="auto"/>
          </w:tcPr>
          <w:p w:rsidR="002322DF" w:rsidRDefault="002322DF"/>
          <w:p w:rsidR="002322DF" w:rsidRDefault="00AD5BFA">
            <w:pPr>
              <w:spacing w:after="0" w:line="276" w:lineRule="auto"/>
            </w:pPr>
            <w:r>
              <w:rPr>
                <w:rFonts w:ascii="Times New Roman" w:eastAsia="Times New Roman" w:hAnsi="Times New Roman" w:cs="Times New Roman"/>
                <w:sz w:val="26"/>
              </w:rPr>
              <w:t>b) Văn bản của cấp có thẩm quyền quyết định thông qua việc tạm ngừng giao dịch.</w:t>
            </w:r>
          </w:p>
        </w:tc>
        <w:tc>
          <w:tcPr>
            <w:tcW w:w="0" w:type="auto"/>
          </w:tcPr>
          <w:p w:rsidR="002322DF" w:rsidRDefault="002322DF"/>
        </w:tc>
        <w:tc>
          <w:tcPr>
            <w:tcW w:w="0" w:type="auto"/>
          </w:tcPr>
          <w:p w:rsidR="002322DF" w:rsidRDefault="002322DF"/>
          <w:p w:rsidR="002322DF" w:rsidRDefault="00AD5BF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2322DF" w:rsidRDefault="00AD5BFA">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Tổ chức (không bao gồm doanh nghiệp, HTX)</w:t>
      </w:r>
    </w:p>
    <w:p w:rsidR="002322DF" w:rsidRDefault="00AD5BFA">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Ngân hàng Nhà nước Chi nhánh tỉnh, thành phố trực thuộc Trung ương</w:t>
      </w:r>
    </w:p>
    <w:p w:rsidR="002322DF" w:rsidRDefault="00AD5BFA">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2322DF" w:rsidRDefault="00AD5BFA">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Bộ phận Một cửa Ngân hàng Nhà nước Khu vực</w:t>
      </w:r>
    </w:p>
    <w:p w:rsidR="002322DF" w:rsidRDefault="00AD5BFA">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2322DF" w:rsidRDefault="00AD5BFA">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2322DF" w:rsidRDefault="00AD5BFA">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Văn bản chấp thuận tạm ngừng giao dịch</w:t>
      </w:r>
    </w:p>
    <w:p w:rsidR="002322DF" w:rsidRDefault="00AD5BFA">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2060"/>
        <w:gridCol w:w="5210"/>
        <w:gridCol w:w="837"/>
        <w:gridCol w:w="1304"/>
      </w:tblGrid>
      <w:tr w:rsidR="002322DF">
        <w:tblPrEx>
          <w:tblCellMar>
            <w:top w:w="0" w:type="dxa"/>
            <w:bottom w:w="0" w:type="dxa"/>
          </w:tblCellMar>
        </w:tblPrEx>
        <w:tc>
          <w:tcPr>
            <w:tcW w:w="2000" w:type="dxa"/>
          </w:tcPr>
          <w:p w:rsidR="002322DF" w:rsidRDefault="002322DF"/>
          <w:p w:rsidR="002322DF" w:rsidRDefault="00AD5BFA">
            <w:pPr>
              <w:spacing w:after="0" w:line="276" w:lineRule="auto"/>
              <w:jc w:val="center"/>
            </w:pPr>
            <w:r>
              <w:rPr>
                <w:rFonts w:ascii="Times New Roman" w:eastAsia="Times New Roman" w:hAnsi="Times New Roman" w:cs="Times New Roman"/>
                <w:b/>
                <w:sz w:val="26"/>
              </w:rPr>
              <w:t>Số ký hiệu</w:t>
            </w:r>
          </w:p>
        </w:tc>
        <w:tc>
          <w:tcPr>
            <w:tcW w:w="3500" w:type="dxa"/>
          </w:tcPr>
          <w:p w:rsidR="002322DF" w:rsidRDefault="002322DF"/>
          <w:p w:rsidR="002322DF" w:rsidRDefault="00AD5BFA">
            <w:pPr>
              <w:spacing w:after="0" w:line="276" w:lineRule="auto"/>
              <w:jc w:val="center"/>
            </w:pPr>
            <w:r>
              <w:rPr>
                <w:rFonts w:ascii="Times New Roman" w:eastAsia="Times New Roman" w:hAnsi="Times New Roman" w:cs="Times New Roman"/>
                <w:b/>
                <w:sz w:val="26"/>
              </w:rPr>
              <w:t>Trích yếu</w:t>
            </w:r>
          </w:p>
        </w:tc>
        <w:tc>
          <w:tcPr>
            <w:tcW w:w="1500" w:type="dxa"/>
          </w:tcPr>
          <w:p w:rsidR="002322DF" w:rsidRDefault="002322DF"/>
          <w:p w:rsidR="002322DF" w:rsidRDefault="00AD5BFA">
            <w:pPr>
              <w:spacing w:after="0" w:line="276" w:lineRule="auto"/>
              <w:jc w:val="center"/>
            </w:pPr>
            <w:r>
              <w:rPr>
                <w:rFonts w:ascii="Times New Roman" w:eastAsia="Times New Roman" w:hAnsi="Times New Roman" w:cs="Times New Roman"/>
                <w:b/>
                <w:sz w:val="26"/>
              </w:rPr>
              <w:t>Ngày ban hành</w:t>
            </w:r>
          </w:p>
        </w:tc>
        <w:tc>
          <w:tcPr>
            <w:tcW w:w="3000" w:type="dxa"/>
          </w:tcPr>
          <w:p w:rsidR="002322DF" w:rsidRDefault="002322DF"/>
          <w:p w:rsidR="002322DF" w:rsidRDefault="00AD5BFA">
            <w:pPr>
              <w:spacing w:after="0" w:line="276" w:lineRule="auto"/>
              <w:jc w:val="center"/>
            </w:pPr>
            <w:r>
              <w:rPr>
                <w:rFonts w:ascii="Times New Roman" w:eastAsia="Times New Roman" w:hAnsi="Times New Roman" w:cs="Times New Roman"/>
                <w:b/>
                <w:sz w:val="26"/>
              </w:rPr>
              <w:t>Cơ quan ban hành</w:t>
            </w:r>
          </w:p>
        </w:tc>
      </w:tr>
      <w:tr w:rsidR="002322DF">
        <w:tblPrEx>
          <w:tblCellMar>
            <w:top w:w="0" w:type="dxa"/>
            <w:bottom w:w="0" w:type="dxa"/>
          </w:tblCellMar>
        </w:tblPrEx>
        <w:tc>
          <w:tcPr>
            <w:tcW w:w="0" w:type="auto"/>
          </w:tcPr>
          <w:p w:rsidR="002322DF" w:rsidRDefault="002322DF"/>
          <w:p w:rsidR="002322DF" w:rsidRDefault="00AD5BFA">
            <w:pPr>
              <w:spacing w:after="0" w:line="276" w:lineRule="auto"/>
            </w:pPr>
            <w:r>
              <w:rPr>
                <w:rFonts w:ascii="Times New Roman" w:eastAsia="Times New Roman" w:hAnsi="Times New Roman" w:cs="Times New Roman"/>
                <w:sz w:val="26"/>
              </w:rPr>
              <w:t>25/2017/TT-NHNN</w:t>
            </w:r>
          </w:p>
        </w:tc>
        <w:tc>
          <w:tcPr>
            <w:tcW w:w="0" w:type="auto"/>
          </w:tcPr>
          <w:p w:rsidR="002322DF" w:rsidRDefault="002322DF"/>
          <w:p w:rsidR="002322DF" w:rsidRDefault="00AD5BFA">
            <w:pPr>
              <w:spacing w:after="0" w:line="276" w:lineRule="auto"/>
            </w:pPr>
            <w:r>
              <w:rPr>
                <w:rFonts w:ascii="Times New Roman" w:eastAsia="Times New Roman" w:hAnsi="Times New Roman" w:cs="Times New Roman"/>
                <w:sz w:val="26"/>
              </w:rPr>
              <w:t>Quy định về hồ sơ, trình tự, thủ tục chấp thuận những thay đổi của tổ chức tín dụng phi ngân hàng</w:t>
            </w:r>
          </w:p>
        </w:tc>
        <w:tc>
          <w:tcPr>
            <w:tcW w:w="0" w:type="auto"/>
          </w:tcPr>
          <w:p w:rsidR="002322DF" w:rsidRDefault="002322DF"/>
          <w:p w:rsidR="002322DF" w:rsidRDefault="00AD5BFA">
            <w:pPr>
              <w:spacing w:after="0" w:line="276" w:lineRule="auto"/>
            </w:pPr>
            <w:r>
              <w:rPr>
                <w:rFonts w:ascii="Times New Roman" w:eastAsia="Times New Roman" w:hAnsi="Times New Roman" w:cs="Times New Roman"/>
                <w:sz w:val="26"/>
              </w:rPr>
              <w:t>29-12-2017</w:t>
            </w:r>
          </w:p>
        </w:tc>
        <w:tc>
          <w:tcPr>
            <w:tcW w:w="0" w:type="auto"/>
          </w:tcPr>
          <w:p w:rsidR="002322DF" w:rsidRDefault="002322DF"/>
          <w:p w:rsidR="002322DF" w:rsidRDefault="00AD5BFA">
            <w:pPr>
              <w:spacing w:after="0" w:line="276" w:lineRule="auto"/>
            </w:pPr>
            <w:r>
              <w:rPr>
                <w:rFonts w:ascii="Times New Roman" w:eastAsia="Times New Roman" w:hAnsi="Times New Roman" w:cs="Times New Roman"/>
                <w:sz w:val="26"/>
              </w:rPr>
              <w:t>Ngân hàng Nhà nước Việt Nam</w:t>
            </w:r>
          </w:p>
        </w:tc>
      </w:tr>
      <w:tr w:rsidR="002322DF">
        <w:tblPrEx>
          <w:tblCellMar>
            <w:top w:w="0" w:type="dxa"/>
            <w:bottom w:w="0" w:type="dxa"/>
          </w:tblCellMar>
        </w:tblPrEx>
        <w:tc>
          <w:tcPr>
            <w:tcW w:w="0" w:type="auto"/>
          </w:tcPr>
          <w:p w:rsidR="002322DF" w:rsidRDefault="002322DF"/>
          <w:p w:rsidR="002322DF" w:rsidRDefault="00AD5BFA">
            <w:pPr>
              <w:spacing w:after="0" w:line="276" w:lineRule="auto"/>
            </w:pPr>
            <w:r>
              <w:rPr>
                <w:rFonts w:ascii="Times New Roman" w:eastAsia="Times New Roman" w:hAnsi="Times New Roman" w:cs="Times New Roman"/>
                <w:sz w:val="26"/>
              </w:rPr>
              <w:t>Luật số 32/2024/QH15</w:t>
            </w:r>
          </w:p>
        </w:tc>
        <w:tc>
          <w:tcPr>
            <w:tcW w:w="0" w:type="auto"/>
          </w:tcPr>
          <w:p w:rsidR="002322DF" w:rsidRDefault="002322DF"/>
          <w:p w:rsidR="002322DF" w:rsidRDefault="00AD5BFA">
            <w:pPr>
              <w:spacing w:after="0" w:line="276" w:lineRule="auto"/>
            </w:pPr>
            <w:r>
              <w:rPr>
                <w:rFonts w:ascii="Times New Roman" w:eastAsia="Times New Roman" w:hAnsi="Times New Roman" w:cs="Times New Roman"/>
                <w:sz w:val="26"/>
              </w:rPr>
              <w:t>Luật Các tổ chức tín dụng</w:t>
            </w:r>
          </w:p>
        </w:tc>
        <w:tc>
          <w:tcPr>
            <w:tcW w:w="0" w:type="auto"/>
          </w:tcPr>
          <w:p w:rsidR="002322DF" w:rsidRDefault="002322DF"/>
          <w:p w:rsidR="002322DF" w:rsidRDefault="00AD5BFA">
            <w:pPr>
              <w:spacing w:after="0" w:line="276" w:lineRule="auto"/>
            </w:pPr>
            <w:r>
              <w:rPr>
                <w:rFonts w:ascii="Times New Roman" w:eastAsia="Times New Roman" w:hAnsi="Times New Roman" w:cs="Times New Roman"/>
                <w:sz w:val="26"/>
              </w:rPr>
              <w:t>18-01-2024</w:t>
            </w:r>
          </w:p>
        </w:tc>
        <w:tc>
          <w:tcPr>
            <w:tcW w:w="0" w:type="auto"/>
          </w:tcPr>
          <w:p w:rsidR="002322DF" w:rsidRDefault="002322DF"/>
          <w:p w:rsidR="002322DF" w:rsidRDefault="00AD5BFA">
            <w:pPr>
              <w:spacing w:after="0" w:line="276" w:lineRule="auto"/>
            </w:pPr>
            <w:r>
              <w:rPr>
                <w:rFonts w:ascii="Times New Roman" w:eastAsia="Times New Roman" w:hAnsi="Times New Roman" w:cs="Times New Roman"/>
                <w:sz w:val="26"/>
              </w:rPr>
              <w:t>Quốc Hội</w:t>
            </w:r>
          </w:p>
        </w:tc>
      </w:tr>
      <w:tr w:rsidR="002322DF">
        <w:tblPrEx>
          <w:tblCellMar>
            <w:top w:w="0" w:type="dxa"/>
            <w:bottom w:w="0" w:type="dxa"/>
          </w:tblCellMar>
        </w:tblPrEx>
        <w:tc>
          <w:tcPr>
            <w:tcW w:w="0" w:type="auto"/>
          </w:tcPr>
          <w:p w:rsidR="002322DF" w:rsidRDefault="002322DF"/>
          <w:p w:rsidR="002322DF" w:rsidRDefault="00AD5BFA">
            <w:pPr>
              <w:spacing w:after="0" w:line="276" w:lineRule="auto"/>
            </w:pPr>
            <w:r>
              <w:rPr>
                <w:rFonts w:ascii="Times New Roman" w:eastAsia="Times New Roman" w:hAnsi="Times New Roman" w:cs="Times New Roman"/>
                <w:sz w:val="26"/>
              </w:rPr>
              <w:t xml:space="preserve">Thông tư số </w:t>
            </w:r>
            <w:r>
              <w:rPr>
                <w:rFonts w:ascii="Times New Roman" w:eastAsia="Times New Roman" w:hAnsi="Times New Roman" w:cs="Times New Roman"/>
                <w:sz w:val="26"/>
              </w:rPr>
              <w:lastRenderedPageBreak/>
              <w:t>30/2024/TT-NHNN</w:t>
            </w:r>
          </w:p>
        </w:tc>
        <w:tc>
          <w:tcPr>
            <w:tcW w:w="0" w:type="auto"/>
          </w:tcPr>
          <w:p w:rsidR="002322DF" w:rsidRDefault="002322DF"/>
          <w:p w:rsidR="002322DF" w:rsidRDefault="00AD5BFA">
            <w:pPr>
              <w:spacing w:after="0" w:line="276" w:lineRule="auto"/>
            </w:pPr>
            <w:r>
              <w:rPr>
                <w:rFonts w:ascii="Times New Roman" w:eastAsia="Times New Roman" w:hAnsi="Times New Roman" w:cs="Times New Roman"/>
                <w:sz w:val="26"/>
              </w:rPr>
              <w:t xml:space="preserve">Thông tư sửa đổi, bổ sung một số điều của các </w:t>
            </w:r>
            <w:r>
              <w:rPr>
                <w:rFonts w:ascii="Times New Roman" w:eastAsia="Times New Roman" w:hAnsi="Times New Roman" w:cs="Times New Roman"/>
                <w:sz w:val="26"/>
              </w:rPr>
              <w:lastRenderedPageBreak/>
              <w:t>Thông tư quy định về hồ sơ, thủ tục chấp thuận những thay đổi và mạng lưới hoạt động của tổ chức tín dụng phi ngân hàng</w:t>
            </w:r>
          </w:p>
        </w:tc>
        <w:tc>
          <w:tcPr>
            <w:tcW w:w="0" w:type="auto"/>
          </w:tcPr>
          <w:p w:rsidR="002322DF" w:rsidRDefault="002322DF"/>
          <w:p w:rsidR="002322DF" w:rsidRDefault="00AD5BFA">
            <w:pPr>
              <w:spacing w:after="0" w:line="276" w:lineRule="auto"/>
            </w:pPr>
            <w:r>
              <w:rPr>
                <w:rFonts w:ascii="Times New Roman" w:eastAsia="Times New Roman" w:hAnsi="Times New Roman" w:cs="Times New Roman"/>
                <w:sz w:val="26"/>
              </w:rPr>
              <w:t>30-06-</w:t>
            </w:r>
            <w:r>
              <w:rPr>
                <w:rFonts w:ascii="Times New Roman" w:eastAsia="Times New Roman" w:hAnsi="Times New Roman" w:cs="Times New Roman"/>
                <w:sz w:val="26"/>
              </w:rPr>
              <w:lastRenderedPageBreak/>
              <w:t>2024</w:t>
            </w:r>
          </w:p>
        </w:tc>
        <w:tc>
          <w:tcPr>
            <w:tcW w:w="0" w:type="auto"/>
          </w:tcPr>
          <w:p w:rsidR="002322DF" w:rsidRDefault="002322DF"/>
          <w:p w:rsidR="002322DF" w:rsidRDefault="00AD5BFA">
            <w:pPr>
              <w:spacing w:after="0" w:line="276" w:lineRule="auto"/>
            </w:pPr>
            <w:r>
              <w:rPr>
                <w:rFonts w:ascii="Times New Roman" w:eastAsia="Times New Roman" w:hAnsi="Times New Roman" w:cs="Times New Roman"/>
                <w:sz w:val="26"/>
              </w:rPr>
              <w:t xml:space="preserve">Ngân hàng </w:t>
            </w:r>
            <w:r>
              <w:rPr>
                <w:rFonts w:ascii="Times New Roman" w:eastAsia="Times New Roman" w:hAnsi="Times New Roman" w:cs="Times New Roman"/>
                <w:sz w:val="26"/>
              </w:rPr>
              <w:lastRenderedPageBreak/>
              <w:t>Nhà nước Việt Nam</w:t>
            </w:r>
          </w:p>
        </w:tc>
      </w:tr>
    </w:tbl>
    <w:p w:rsidR="002322DF" w:rsidRDefault="00AD5BFA">
      <w:pPr>
        <w:spacing w:before="240" w:after="0" w:line="276" w:lineRule="auto"/>
        <w:jc w:val="both"/>
      </w:pPr>
      <w:r>
        <w:rPr>
          <w:rFonts w:ascii="Times New Roman" w:eastAsia="Times New Roman" w:hAnsi="Times New Roman" w:cs="Times New Roman"/>
          <w:b/>
          <w:sz w:val="26"/>
        </w:rPr>
        <w:lastRenderedPageBreak/>
        <w:t xml:space="preserve">Yêu cầu, điều kiện thực hiện: </w:t>
      </w:r>
      <w:r>
        <w:rPr>
          <w:rFonts w:ascii="Times New Roman" w:eastAsia="Times New Roman" w:hAnsi="Times New Roman" w:cs="Times New Roman"/>
          <w:sz w:val="26"/>
        </w:rPr>
        <w:t>Không</w:t>
      </w:r>
    </w:p>
    <w:p w:rsidR="002322DF" w:rsidRDefault="00AD5BFA">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2322DF" w:rsidRDefault="00AD5BFA">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https://thutuc.dichvucong.gov.vn/p/home/dvc-tthc-thu-tuc-hanh-chinh-chi-tiet.html?ma_thu_tuc=2704</w:t>
      </w:r>
    </w:p>
    <w:sectPr w:rsidR="002322DF">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322DF"/>
    <w:rsid w:val="000C74DA"/>
    <w:rsid w:val="002322DF"/>
    <w:rsid w:val="00AD5B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FCE9F59-7091-4CC2-AC1F-65045CFF1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437</Words>
  <Characters>2493</Characters>
  <Application>Microsoft Office Word</Application>
  <DocSecurity>0</DocSecurity>
  <Lines>20</Lines>
  <Paragraphs>5</Paragraphs>
  <ScaleCrop>false</ScaleCrop>
  <Company/>
  <LinksUpToDate>false</LinksUpToDate>
  <CharactersWithSpaces>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2025-11-27T16:43:00Z</dcterms:created>
  <dcterms:modified xsi:type="dcterms:W3CDTF">2025-11-27T16:43:00Z</dcterms:modified>
</cp:coreProperties>
</file>