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1.001870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870/QĐ-BXD</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Đổi tên cảng cạn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Hàng hải và đường thủy nội địa</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a) Nộp hồ sơ TTHC:</w:t>
      </w:r>
    </w:p>
    <w:p>
      <w:pPr>
        <w:spacing w:after="0" w:before="0" w:lineRule="auto" w:line="276"/>
        <w:jc w:val="both"/>
      </w:pPr>
      <w:r>
        <w:rPr>
          <w:rFonts w:ascii="Times New Roman" w:hAnsi="Times New Roman" w:cs="Times New Roman" w:eastAsia="Times New Roman"/>
          <w:b w:val="false"/>
          <w:sz w:val="26"/>
        </w:rPr>
        <w:t>- Chủ đầu tư hoặc người quản lý khai thác cảng cạn gửi trực tiếp hoặc qua hệ thống bưu chính hoặc qua hệ thống dịch vụ công trực tuyến đến Ủy ban nhân dân cấp tỉnh 01 bộ hồ sơ đổi tên cảng cạn.</w:t>
      </w:r>
    </w:p>
    <w:p>
      <w:pPr>
        <w:shd w:val="clear" w:color="auto" w:fill="F2F6F9"/>
        <w:spacing w:after="0" w:before="120" w:lineRule="auto" w:line="276"/>
        <w:jc w:val="both"/>
      </w:pPr>
      <w:r>
        <w:rPr>
          <w:rFonts w:ascii="Times New Roman" w:hAnsi="Times New Roman" w:cs="Times New Roman" w:eastAsia="Times New Roman"/>
          <w:b w:val="true"/>
          <w:sz w:val="26"/>
        </w:rPr>
        <w:t>b) Giải quyết TTHC:</w:t>
      </w:r>
    </w:p>
    <w:p>
      <w:pPr>
        <w:spacing w:after="0" w:before="0" w:lineRule="auto" w:line="276"/>
        <w:jc w:val="both"/>
      </w:pPr>
      <w:r>
        <w:rPr>
          <w:rFonts w:ascii="Times New Roman" w:hAnsi="Times New Roman" w:cs="Times New Roman" w:eastAsia="Times New Roman"/>
          <w:b w:val="false"/>
          <w:sz w:val="26"/>
        </w:rPr>
        <w:t>- Ủy ban nhân dân cấp tỉnh tiếp nhận hồ sơ, kiểm tra sự phù hợp của hồ sơ, trường hợp hồ sơ chưa hợp lệ hoặc tên cảng cạn chưa phù hợp thì trong thời gian 02 ngày làm việc kể từ khi nhận được hồ sơ, Ủy ban nhân dân cấp tỉnh hướng dẫn chủ đầu tư hoặc người khai thác cảng cạn để hoàn thiện hồ sơ cho phù hợp;
- Trong thời hạn 03 ngày làm việc, kể từ ngày nhận được hồ sơ hợp lệ, Ủy ban nhân dân cấp tỉnh ra quyết định đổi tên cảng cạn; trường hợp không chấp thuận phải có văn bản trả lời người đề nghị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gian 03 ngày làm việc, 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gian 03 ngày làm việc, 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gian 03 ngày làm việc, kể từ ngày nhận được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Tờ khai theo mẫu</w:t>
            </w:r>
          </w:p>
        </w:tc>
        <w:tc>
          <w:p/>
          <w:p>
            <w:pPr>
              <w:spacing w:after="0" w:before="0" w:lineRule="auto" w:line="276"/>
              <w:jc w:val="left"/>
            </w:pPr>
            <w:r>
              <w:rPr>
                <w:rFonts w:ascii="Times New Roman" w:hAnsi="Times New Roman" w:cs="Times New Roman" w:eastAsia="Times New Roman"/>
                <w:b w:val="false"/>
                <w:sz w:val="26"/>
              </w:rPr>
              <w:t>MuTkhaiitncngcn.docx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Doanh nghiệp,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đổi tên cảng cạn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95/2015/QH13</w:t>
            </w:r>
          </w:p>
        </w:tc>
        <w:tc>
          <w:p/>
          <w:p>
            <w:pPr>
              <w:spacing w:after="0" w:before="0" w:lineRule="auto" w:line="276"/>
              <w:jc w:val="left"/>
            </w:pPr>
            <w:r>
              <w:rPr>
                <w:rFonts w:ascii="Times New Roman" w:hAnsi="Times New Roman" w:cs="Times New Roman" w:eastAsia="Times New Roman"/>
                <w:b w:val="false"/>
                <w:sz w:val="26"/>
              </w:rPr>
              <w:t>Hàng hải</w:t>
            </w:r>
          </w:p>
        </w:tc>
        <w:tc>
          <w:p/>
          <w:p>
            <w:pPr>
              <w:spacing w:after="0" w:before="0" w:lineRule="auto" w:line="276"/>
              <w:jc w:val="left"/>
            </w:pPr>
            <w:r>
              <w:rPr>
                <w:rFonts w:ascii="Times New Roman" w:hAnsi="Times New Roman" w:cs="Times New Roman" w:eastAsia="Times New Roman"/>
                <w:b w:val="false"/>
                <w:sz w:val="26"/>
              </w:rPr>
              <w:t>25-11-2015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38/2017/NĐ-CP</w:t>
            </w:r>
          </w:p>
        </w:tc>
        <w:tc>
          <w:p/>
          <w:p>
            <w:pPr>
              <w:spacing w:after="0" w:before="0" w:lineRule="auto" w:line="276"/>
              <w:jc w:val="left"/>
            </w:pPr>
            <w:r>
              <w:rPr>
                <w:rFonts w:ascii="Times New Roman" w:hAnsi="Times New Roman" w:cs="Times New Roman" w:eastAsia="Times New Roman"/>
                <w:b w:val="false"/>
                <w:sz w:val="26"/>
              </w:rPr>
              <w:t>Về đầu tư xây dựng, quản lý khai thác cảng cạn</w:t>
            </w:r>
          </w:p>
        </w:tc>
        <w:tc>
          <w:p/>
          <w:p>
            <w:pPr>
              <w:spacing w:after="0" w:before="0" w:lineRule="auto" w:line="276"/>
              <w:jc w:val="left"/>
            </w:pPr>
            <w:r>
              <w:rPr>
                <w:rFonts w:ascii="Times New Roman" w:hAnsi="Times New Roman" w:cs="Times New Roman" w:eastAsia="Times New Roman"/>
                <w:b w:val="false"/>
                <w:sz w:val="26"/>
              </w:rPr>
              <w:t>04-04-2017</w:t>
            </w:r>
          </w:p>
        </w:tc>
        <w:tc>
          <w:p/>
        </w:tc>
      </w:tr>
      <w:tr>
        <w:tc>
          <w:p/>
          <w:p>
            <w:pPr>
              <w:spacing w:after="0" w:before="0" w:lineRule="auto" w:line="276"/>
              <w:jc w:val="left"/>
            </w:pPr>
            <w:r>
              <w:rPr>
                <w:rFonts w:ascii="Times New Roman" w:hAnsi="Times New Roman" w:cs="Times New Roman" w:eastAsia="Times New Roman"/>
                <w:b w:val="false"/>
                <w:sz w:val="26"/>
              </w:rPr>
              <w:t>58/2017/NĐ-CP</w:t>
            </w:r>
          </w:p>
        </w:tc>
        <w:tc>
          <w:p/>
          <w:p>
            <w:pPr>
              <w:spacing w:after="0" w:before="0" w:lineRule="auto" w:line="276"/>
              <w:jc w:val="left"/>
            </w:pPr>
            <w:r>
              <w:rPr>
                <w:rFonts w:ascii="Times New Roman" w:hAnsi="Times New Roman" w:cs="Times New Roman" w:eastAsia="Times New Roman"/>
                <w:b w:val="false"/>
                <w:sz w:val="26"/>
              </w:rPr>
              <w:t>Quy định chi tiết một số điều của Bộ luật Hàng hải Việt Nam về quản lý hoạt động hàng hải</w:t>
            </w:r>
          </w:p>
        </w:tc>
        <w:tc>
          <w:p/>
          <w:p>
            <w:pPr>
              <w:spacing w:after="0" w:before="0" w:lineRule="auto" w:line="276"/>
              <w:jc w:val="left"/>
            </w:pPr>
            <w:r>
              <w:rPr>
                <w:rFonts w:ascii="Times New Roman" w:hAnsi="Times New Roman" w:cs="Times New Roman" w:eastAsia="Times New Roman"/>
                <w:b w:val="false"/>
                <w:sz w:val="26"/>
              </w:rPr>
              <w:t>10-05-2017</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74/2023/NĐ-CP</w:t>
            </w:r>
          </w:p>
        </w:tc>
        <w:tc>
          <w:p/>
          <w:p>
            <w:pPr>
              <w:spacing w:after="0" w:before="0" w:lineRule="auto" w:line="276"/>
              <w:jc w:val="left"/>
            </w:pPr>
            <w:r>
              <w:rPr>
                <w:rFonts w:ascii="Times New Roman" w:hAnsi="Times New Roman" w:cs="Times New Roman" w:eastAsia="Times New Roman"/>
                <w:b w:val="false"/>
                <w:sz w:val="26"/>
              </w:rPr>
              <w:t>sửa đổi, bổ sung một số điều của các Nghị định quy định liên quan đến phân cấp giải quyết thủ tục hành chính trong lĩnh vực hàng hải (có hiệu lực từ ngày 11/10/2024)</w:t>
            </w:r>
          </w:p>
        </w:tc>
        <w:tc>
          <w:p/>
          <w:p>
            <w:pPr>
              <w:spacing w:after="0" w:before="0" w:lineRule="auto" w:line="276"/>
              <w:jc w:val="left"/>
            </w:pPr>
            <w:r>
              <w:rPr>
                <w:rFonts w:ascii="Times New Roman" w:hAnsi="Times New Roman" w:cs="Times New Roman" w:eastAsia="Times New Roman"/>
                <w:b w:val="false"/>
                <w:sz w:val="26"/>
              </w:rPr>
              <w:t>11-10-2023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144/2025/NĐ-CP</w:t>
            </w:r>
          </w:p>
        </w:tc>
        <w:tc>
          <w:p/>
          <w:p>
            <w:pPr>
              <w:spacing w:after="0" w:before="0" w:lineRule="auto" w:line="276"/>
              <w:jc w:val="left"/>
            </w:pPr>
            <w:r>
              <w:rPr>
                <w:rFonts w:ascii="Times New Roman" w:hAnsi="Times New Roman" w:cs="Times New Roman" w:eastAsia="Times New Roman"/>
                <w:b w:val="false"/>
                <w:sz w:val="26"/>
              </w:rPr>
              <w:t>quy định về phân quyền, phân cấp trong lĩnh vực quản lý nhà nước của Bộ Xây dựng</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https://thutuc.dichvucong.gov.vn/p/home/dvc-tthc-thu-tuc-hanh-chinh-chi-tiet.html?ma_thu_tuc=2705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2025-11-27T16:43:30Z</dcterms:created>
  <dc:creator>Apache POI</dc:creator>
</cp:coreProperties>
</file>