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258/QĐ-BXD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Thỏa thuận vị trí, thông số kỹ thuật chi tiết cảng biển, bến cảng, cầu cảng, luồng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Trước khi phê duyệt dự án đầu tư, chủ đầu tư gửi trực tiếp hoặc qua hệ thống bưu chính hoặc qua hệ thống dịch vụ công trực tuyến hoặc bằng hình thức phù hợp khác đến Cục Hàng hải và Đường thủy Việt Nam hồ sơ đề nghị thỏa thuận vị trí, thông số kỹ thuật chi tiết cảng biển, bến cảng, cầu cảng, luồng hàng hải.</w:t>
      </w:r>
    </w:p>
    <w:p>
      <w:pPr>
        <w:spacing w:after="0" w:before="0" w:lineRule="auto" w:line="276"/>
        <w:jc w:val="both"/>
      </w:pPr>
      <w:r>
        <w:rPr>
          <w:rFonts w:ascii="Times New Roman" w:hAnsi="Times New Roman" w:cs="Times New Roman" w:eastAsia="Times New Roman"/>
          <w:b w:val="false"/>
          <w:sz w:val="26"/>
        </w:rPr>
        <w:t>b) Giải quyết TTHC:
- Chậm nhất 02 ngày làm việc, kể từ ngày nhận được đủ hồ sơ của chủ đầu tư, Cục Hàng hải và Đường thủy Việt Nam có văn bản lấy ý kiến các cơ quan liên quan về đề nghị của chủ đầu tư. Trong vòng 05 ngày làm việc, kể từ ngày nhận được văn bản xin ý kiến cùng hồ sơ liên quan kèm theo, các cơ quan liên quan có văn bản tham gia ý kiến gửi tới Cục Hàng hải và Đường thủy Việt Nam.
-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02 ngày làm việc, kể từ ngày nhận được đủ hồ sơ của chủ đầu tư, Cục Hàng hải và Đường thủy Việt Nam có văn bản lấy ý kiến các cơ quan liên quan về đề nghị của chủ đầu tư. Trong vòng 05 ngày làm việc, kể từ ngày nhận được văn bản xin ý kiến cùng hồ sơ liên quan kèm theo, các cơ quan liên quan có văn bản tham gia ý kiến gửi tới Cục Hàng hải và Đường thủy Việt Nam.</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02 ngày làm việc, kể từ ngày nhận được đủ hồ sơ của chủ đầu tư, Cục Hàng hải và Đường thủy Việt Nam có văn bản lấy ý kiến các cơ quan liên quan về đề nghị của chủ đầu tư. Trong vòng 05 ngày làm việc, kể từ ngày nhận được văn bản xin ý kiến cùng hồ sơ liên quan kèm theo, các cơ quan liên quan có văn bản tham gia ý kiến gửi tới Cục Hàng hải và Đường thủy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02 ngày làm việc, kể từ ngày nhận được đủ hồ sơ của chủ đầu tư, Cục Hàng hải và Đường thủy Việt Nam có văn bản lấy ý kiến các cơ quan liên quan về đề nghị của chủ đầu tư. Trong vòng 05 ngày làm việc, kể từ ngày nhận được văn bản xin ý kiến cùng hồ sơ liên quan kèm theo, các cơ quan liên quan có văn bản tham gia ý kiến gửi tới Cục Hàng hải và Đường thủy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03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hoặc biểu mẫu điện tử Văn bản đề nghị thỏa thuận vị trí, thông số kỹ thuật chi tiết cảng biển, bến cảng, cầu cảng, bến phao, luồng hàng hải;</w:t>
            </w:r>
          </w:p>
        </w:tc>
        <w:tc>
          <w:p/>
          <w:p>
            <w:pPr>
              <w:spacing w:after="0" w:before="0" w:lineRule="auto" w:line="276"/>
              <w:jc w:val="left"/>
            </w:pPr>
            <w:r>
              <w:rPr>
                <w:rFonts w:ascii="Times New Roman" w:hAnsi="Times New Roman" w:cs="Times New Roman" w:eastAsia="Times New Roman"/>
                <w:b w:val="false"/>
                <w:sz w:val="26"/>
              </w:rPr>
              <w:t>Mauonenghithoathuanvitri.docx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hoặc bản sao điện tử văn bản chấp thuận chủ trương đầu tư của cấp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hoặc hoặc bản sao điện tử hoặc bản sao điện tử từ sổ gốc hoặc bản sao điện tử có chứng thực từ bản chính bản vẽ mặt bằng công trình thể hiện tọa độ vị trí công trình chính và các công trình phụ trợ khác, khoảng cách từ biên công trình đến các công trình liền kề</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kèm bản chính để đối chiếu hoặc bản sao điện tử hoặc bản sao điện tử từ sổ gốc hoặc bản sao điện tử có chứng thực từ bản chính giấy tờ pháp lý về khu đất nghiên cứu dự án (cụ thể tọa độ biên khu đất)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kèm bản chính để đối chiếu hoặc hoặc bản sao điện tử hoặc bản sao điện tử từ sổ gốc hoặc bản sao điện tử có chứng thực từ bản chính ý kiến của cơ quan có thẩm quyền về phòng cháy chữa cháy đối với các công trình có yêu cầu riêng về khoảng cách an toàn phòng cháy chữa cháy với công trình liền kề.</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b)Số lượng hồ sơ: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thỏa thuận vị trí, thông số kỹ thuật chi tiết.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Bộ luật Hàng hải Việt Nam về quản lý hoạt động hàng hải</w:t>
            </w:r>
          </w:p>
        </w:tc>
        <w:tc>
          <w:p/>
          <w:p>
            <w:pPr>
              <w:spacing w:after="0" w:before="0" w:lineRule="auto" w:line="276"/>
              <w:jc w:val="left"/>
            </w:pPr>
            <w:r>
              <w:rPr>
                <w:rFonts w:ascii="Times New Roman" w:hAnsi="Times New Roman" w:cs="Times New Roman" w:eastAsia="Times New Roman"/>
                <w:b w:val="false"/>
                <w:sz w:val="26"/>
              </w:rPr>
              <w:t>10-05-2017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69/2022/NĐ-CP</w:t>
            </w:r>
          </w:p>
        </w:tc>
        <w:tc>
          <w:p/>
          <w:p>
            <w:pPr>
              <w:spacing w:after="0" w:before="0" w:lineRule="auto" w:line="276"/>
              <w:jc w:val="left"/>
            </w:pPr>
            <w:r>
              <w:rPr>
                <w:rFonts w:ascii="Times New Roman" w:hAnsi="Times New Roman" w:cs="Times New Roman" w:eastAsia="Times New Roman"/>
                <w:b w:val="false"/>
                <w:sz w:val="26"/>
              </w:rPr>
              <w:t>Nghị định 69/2022/NĐ-CP</w:t>
            </w:r>
          </w:p>
        </w:tc>
        <w:tc>
          <w:p/>
          <w:p>
            <w:pPr>
              <w:spacing w:after="0" w:before="0" w:lineRule="auto" w:line="276"/>
              <w:jc w:val="left"/>
            </w:pPr>
            <w:r>
              <w:rPr>
                <w:rFonts w:ascii="Times New Roman" w:hAnsi="Times New Roman" w:cs="Times New Roman" w:eastAsia="Times New Roman"/>
                <w:b w:val="false"/>
                <w:sz w:val="26"/>
              </w:rPr>
              <w:t>23-09-2022</w:t>
            </w:r>
          </w:p>
        </w:tc>
        <w:tc>
          <w:p/>
        </w:tc>
      </w:tr>
      <w:tr>
        <w:tc>
          <w:p/>
          <w:p>
            <w:pPr>
              <w:spacing w:after="0" w:before="0" w:lineRule="auto" w:line="276"/>
              <w:jc w:val="left"/>
            </w:pPr>
            <w:r>
              <w:rPr>
                <w:rFonts w:ascii="Times New Roman" w:hAnsi="Times New Roman" w:cs="Times New Roman" w:eastAsia="Times New Roman"/>
                <w:b w:val="false"/>
                <w:sz w:val="26"/>
              </w:rPr>
              <w:t>33/2025/NĐ-CP</w:t>
            </w:r>
          </w:p>
        </w:tc>
        <w:tc>
          <w:p/>
          <w:p>
            <w:pPr>
              <w:spacing w:after="0" w:before="0" w:lineRule="auto" w:line="276"/>
              <w:jc w:val="left"/>
            </w:pPr>
            <w:r>
              <w:rPr>
                <w:rFonts w:ascii="Times New Roman" w:hAnsi="Times New Roman" w:cs="Times New Roman" w:eastAsia="Times New Roman"/>
                <w:b w:val="false"/>
                <w:sz w:val="26"/>
              </w:rPr>
              <w:t>Quy định chức năng, nhiệm vụ, quyền hạn và cơ cấu tổ chức của Bộ Xây dựng.</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34/2025/NĐ-CP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trong lĩnh vực hàng hải</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2025-11-27T16:43:39Z</dcterms:created>
  <dc:creator>Apache POI</dc:creator>
</cp:coreProperties>
</file>