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chi phí BHYT với cơ sở KCB BHYT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BHYT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 Trong thời hạn 7 ngày làm việc (kể từ ngày kết thúc việc KCB đối với người bệnh) cơ sở KCB BHYT phải gửi dữ liệu điện tử đề nghị thanh toán chi phí KCB BHYT lên Cổng Tiếp nhận dữ liệu Hệ thống thông tin giám định BHYT của BHXH Việt Nam (sau đây gọi là Cổng Thông tin giám định BHYT), dữ liệu phát sinh vào những ngày cuối của tháng hoặc của quý hoặc của năm đến Cổng Thông tin giám định BHYT trước ngày mùng 5 của tháng kế tiếp.</w:t>
      </w:r>
    </w:p>
    <w:p>
      <w:pPr>
        <w:spacing w:after="0" w:before="0" w:lineRule="auto" w:line="276"/>
        <w:jc w:val="both"/>
      </w:pPr>
      <w:r>
        <w:rPr>
          <w:rFonts w:ascii="Times New Roman" w:hAnsi="Times New Roman" w:cs="Times New Roman" w:eastAsia="Times New Roman"/>
          <w:b w:val="false"/>
          <w:sz w:val="26"/>
        </w:rPr>
        <w:t>- Trong thời gian 15 ngày đầu mỗi tháng, cơ sở KCB BHYT lập bảng Tổng hợp chi phí khám bệnh, chữa bệnh của người tham gia BHYT (Mẫu C79-HD) tháng trước và gửi cho cơ quan BHXH.</w:t>
      </w:r>
    </w:p>
    <w:p>
      <w:pPr>
        <w:spacing w:after="0" w:before="0" w:lineRule="auto" w:line="276"/>
        <w:jc w:val="both"/>
      </w:pPr>
      <w:r>
        <w:rPr>
          <w:rFonts w:ascii="Times New Roman" w:hAnsi="Times New Roman" w:cs="Times New Roman" w:eastAsia="Times New Roman"/>
          <w:b w:val="false"/>
          <w:sz w:val="26"/>
        </w:rPr>
        <w:t>- Trong thời hạn 15 ngày đầu mỗi quý, cơ sở KCB BHYT gửi Báo cáo quyết toán chi phí khám bệnh, chữa bệnh BHYT của quý trước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BHYT nộp hồ sơ trực tuyến hoặc trực tiếp tại cơ quan BHXH hoặc qua dịch vụ bưu chính công ích (đồng thời gửi dữ liệu đề nghị thanh toán lên Cổng Thông tin giám định BHYT theo quy định tại Thông tư số 48/2017/TT-BYT).
- Thực hiện ký biên bản quyết toán chi phí KCB BHYT tại trụ sở cơ quan BHXH hoặc tại cơ sở KCB.</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BHYT nộp hồ sơ trực tuyến hoặc trực tiếp tại cơ quan BHXH hoặc qua dịch vụ bưu chính công ích (đồng thời gửi dữ liệu đề nghị thanh toán lên Cổng Thông tin giám định BHYT theo quy định tại Thông tư số 48/2017/TT-BYT).
- Thực hiện ký biên bản quyết toán chi phí KCB BHYT tại trụ sở cơ quan BHXH hoặc tại cơ sở KCB.</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Cơ sở KCB BHYT nộp hồ sơ trực tuyến hoặc trực tiếp tại cơ quan BHXH hoặc qua dịch vụ bưu chính công ích (đồng thời gửi dữ liệu đề nghị thanh toán lên Cổng Thông tin giám định BHYT theo quy định tại Thông tư số 48/2017/TT-BYT).
- Thực hiện ký biên bản quyết toán chi phí KCB BHYT tại trụ sở cơ quan BHXH hoặc tại cơ sở KCB.</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Bảng tổng hợp chi phí KCB của người tham gia BHYT</w:t>
            </w:r>
          </w:p>
        </w:tc>
        <w:tc>
          <w:p/>
          <w:p>
            <w:pPr>
              <w:spacing w:after="0" w:before="0" w:lineRule="auto" w:line="276"/>
              <w:jc w:val="left"/>
            </w:pPr>
            <w:r>
              <w:rPr>
                <w:rFonts w:ascii="Times New Roman" w:hAnsi="Times New Roman" w:cs="Times New Roman" w:eastAsia="Times New Roman"/>
                <w:b w:val="false"/>
                <w:sz w:val="26"/>
              </w:rPr>
              <w:t>Mẫu C79HD.docx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thanh, quyết toán chi phí khám chữa bệnh BHYT, Cơ quan BHXH chuyển tiền cho cơ sở KCB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25/2008/QH12</w:t>
            </w:r>
          </w:p>
        </w:tc>
        <w:tc>
          <w:p/>
          <w:p>
            <w:pPr>
              <w:spacing w:after="0" w:before="0" w:lineRule="auto" w:line="276"/>
              <w:jc w:val="left"/>
            </w:pPr>
            <w:r>
              <w:rPr>
                <w:rFonts w:ascii="Times New Roman" w:hAnsi="Times New Roman" w:cs="Times New Roman" w:eastAsia="Times New Roman"/>
                <w:b w:val="false"/>
                <w:sz w:val="26"/>
              </w:rPr>
              <w:t>Luật 25/2008/QH12</w:t>
            </w:r>
          </w:p>
        </w:tc>
        <w:tc>
          <w:p/>
          <w:p>
            <w:pPr>
              <w:spacing w:after="0" w:before="0" w:lineRule="auto" w:line="276"/>
              <w:jc w:val="left"/>
            </w:pPr>
            <w:r>
              <w:rPr>
                <w:rFonts w:ascii="Times New Roman" w:hAnsi="Times New Roman" w:cs="Times New Roman" w:eastAsia="Times New Roman"/>
                <w:b w:val="false"/>
                <w:sz w:val="26"/>
              </w:rPr>
              <w:t>14-11-2008</w:t>
            </w:r>
          </w:p>
        </w:tc>
        <w:tc>
          <w:p/>
        </w:tc>
      </w:tr>
      <w:tr>
        <w:tc>
          <w:p/>
          <w:p>
            <w:pPr>
              <w:spacing w:after="0" w:before="0" w:lineRule="auto" w:line="276"/>
              <w:jc w:val="left"/>
            </w:pPr>
            <w:r>
              <w:rPr>
                <w:rFonts w:ascii="Times New Roman" w:hAnsi="Times New Roman" w:cs="Times New Roman" w:eastAsia="Times New Roman"/>
                <w:b w:val="false"/>
                <w:sz w:val="26"/>
              </w:rPr>
              <w:t>46/2014/QH13</w:t>
            </w:r>
          </w:p>
        </w:tc>
        <w:tc>
          <w:p/>
          <w:p>
            <w:pPr>
              <w:spacing w:after="0" w:before="0" w:lineRule="auto" w:line="276"/>
              <w:jc w:val="left"/>
            </w:pPr>
            <w:r>
              <w:rPr>
                <w:rFonts w:ascii="Times New Roman" w:hAnsi="Times New Roman" w:cs="Times New Roman" w:eastAsia="Times New Roman"/>
                <w:b w:val="false"/>
                <w:sz w:val="26"/>
              </w:rPr>
              <w:t>Luật 46/2014/QH13</w:t>
            </w:r>
          </w:p>
        </w:tc>
        <w:tc>
          <w:p/>
          <w:p>
            <w:pPr>
              <w:spacing w:after="0" w:before="0" w:lineRule="auto" w:line="276"/>
              <w:jc w:val="left"/>
            </w:pPr>
            <w:r>
              <w:rPr>
                <w:rFonts w:ascii="Times New Roman" w:hAnsi="Times New Roman" w:cs="Times New Roman" w:eastAsia="Times New Roman"/>
                <w:b w:val="false"/>
                <w:sz w:val="26"/>
              </w:rPr>
              <w:t>13-06-2014</w:t>
            </w:r>
          </w:p>
        </w:tc>
        <w:tc>
          <w:p/>
        </w:tc>
      </w:tr>
      <w:tr>
        <w:tc>
          <w:p/>
          <w:p>
            <w:pPr>
              <w:spacing w:after="0" w:before="0" w:lineRule="auto" w:line="276"/>
              <w:jc w:val="left"/>
            </w:pPr>
            <w:r>
              <w:rPr>
                <w:rFonts w:ascii="Times New Roman" w:hAnsi="Times New Roman" w:cs="Times New Roman" w:eastAsia="Times New Roman"/>
                <w:b w:val="false"/>
                <w:sz w:val="26"/>
              </w:rPr>
              <w:t>146/2018/NĐ-CP</w:t>
            </w:r>
          </w:p>
        </w:tc>
        <w:tc>
          <w:p/>
          <w:p>
            <w:pPr>
              <w:spacing w:after="0" w:before="0" w:lineRule="auto" w:line="276"/>
              <w:jc w:val="left"/>
            </w:pPr>
            <w:r>
              <w:rPr>
                <w:rFonts w:ascii="Times New Roman" w:hAnsi="Times New Roman" w:cs="Times New Roman" w:eastAsia="Times New Roman"/>
                <w:b w:val="false"/>
                <w:sz w:val="26"/>
              </w:rPr>
              <w:t>Nghị định 146/2018/NĐ-CP</w:t>
            </w:r>
          </w:p>
        </w:tc>
        <w:tc>
          <w:p/>
          <w:p>
            <w:pPr>
              <w:spacing w:after="0" w:before="0" w:lineRule="auto" w:line="276"/>
              <w:jc w:val="left"/>
            </w:pPr>
            <w:r>
              <w:rPr>
                <w:rFonts w:ascii="Times New Roman" w:hAnsi="Times New Roman" w:cs="Times New Roman" w:eastAsia="Times New Roman"/>
                <w:b w:val="false"/>
                <w:sz w:val="26"/>
              </w:rPr>
              <w:t>17-10-2018</w:t>
            </w:r>
          </w:p>
        </w:tc>
        <w:tc>
          <w:p/>
        </w:tc>
      </w:tr>
      <w:tr>
        <w:tc>
          <w:p/>
          <w:p>
            <w:pPr>
              <w:spacing w:after="0" w:before="0" w:lineRule="auto" w:line="276"/>
              <w:jc w:val="left"/>
            </w:pPr>
            <w:r>
              <w:rPr>
                <w:rFonts w:ascii="Times New Roman" w:hAnsi="Times New Roman" w:cs="Times New Roman" w:eastAsia="Times New Roman"/>
                <w:b w:val="false"/>
                <w:sz w:val="26"/>
              </w:rPr>
              <w:t>102/2018/TT-BTC</w:t>
            </w:r>
          </w:p>
        </w:tc>
        <w:tc>
          <w:p/>
          <w:p>
            <w:pPr>
              <w:spacing w:after="0" w:before="0" w:lineRule="auto" w:line="276"/>
              <w:jc w:val="left"/>
            </w:pPr>
            <w:r>
              <w:rPr>
                <w:rFonts w:ascii="Times New Roman" w:hAnsi="Times New Roman" w:cs="Times New Roman" w:eastAsia="Times New Roman"/>
                <w:b w:val="false"/>
                <w:sz w:val="26"/>
              </w:rPr>
              <w:t>Thông tư 102/2018/TT-BTC</w:t>
            </w:r>
          </w:p>
        </w:tc>
        <w:tc>
          <w:p/>
          <w:p>
            <w:pPr>
              <w:spacing w:after="0" w:before="0" w:lineRule="auto" w:line="276"/>
              <w:jc w:val="left"/>
            </w:pPr>
            <w:r>
              <w:rPr>
                <w:rFonts w:ascii="Times New Roman" w:hAnsi="Times New Roman" w:cs="Times New Roman" w:eastAsia="Times New Roman"/>
                <w:b w:val="false"/>
                <w:sz w:val="26"/>
              </w:rPr>
              <w:t>14-11-2018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2025-11-27T16:43:47Z</dcterms:created>
  <dc:creator>Apache POI</dc:creator>
</cp:coreProperties>
</file>