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tốt nghiệp và cấp bằng thạc sĩ, bảng điểm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Hội đồng xét tốt nghiệp do thủ trưởng cơ sở đào tạo quyết định thành lập, trên cơ sở đề nghị của trưởng đơn vị quản lý đào tạo sau đại học. Hội đồng do thủ trưởng cơ sở đào tạo hoặc cấp phó được ủy quyền của thủ trưởng cơ sở đào tạo làm chủ tịch, trưởng đơn vị quản lý đào tạo sau đại học làm uỷ viên thường trực, các uỷ viên là trưởng đơn vị chuyên môn có học viên tốt nghiệp, đại diện thanh tra đào tạo và đại diện lãnh đạo đơn vị có liên quan đến quá trình đào tạo (nếu có). Hội đồng căn cứ vào điều kiện tốt nghiệp để xét, lập danh sách những học viên đủ điều kiện, đề nghị thủ trưởng cơ sở đào tạo công nhận tốt nghiệp.</w:t>
      </w:r>
    </w:p>
    <w:p>
      <w:pPr>
        <w:spacing w:after="0" w:before="0" w:lineRule="auto" w:line="276"/>
        <w:jc w:val="both"/>
      </w:pPr>
      <w:r>
        <w:rPr>
          <w:rFonts w:ascii="Times New Roman" w:hAnsi="Times New Roman" w:cs="Times New Roman" w:eastAsia="Times New Roman"/>
          <w:b w:val="false"/>
          <w:sz w:val="26"/>
        </w:rPr>
        <w:t>Thủ trưởng cơ sở đào tạo ra Quyết định công nhận tốt nghiệp, cấp bằng thạc sĩ và bảng điểm cho học viên theo đề nghị của hội đồng xét tốt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cụ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Không quy định cụ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Không quy định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tốt nghiệp, bằng thạc sĩ và bảng điểm cho học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15/2014/TT-BGDĐT</w:t>
            </w:r>
          </w:p>
        </w:tc>
        <w:tc>
          <w:p/>
          <w:p>
            <w:pPr>
              <w:spacing w:after="0" w:before="0" w:lineRule="auto" w:line="276"/>
              <w:jc w:val="left"/>
            </w:pPr>
            <w:r>
              <w:rPr>
                <w:rFonts w:ascii="Times New Roman" w:hAnsi="Times New Roman" w:cs="Times New Roman" w:eastAsia="Times New Roman"/>
                <w:b w:val="false"/>
                <w:sz w:val="26"/>
              </w:rPr>
              <w:t>Ban hành Quy chế đào tạo trình độ thạc sĩ</w:t>
            </w:r>
          </w:p>
        </w:tc>
        <w:tc>
          <w:p/>
          <w:p>
            <w:pPr>
              <w:spacing w:after="0" w:before="0" w:lineRule="auto" w:line="276"/>
              <w:jc w:val="left"/>
            </w:pPr>
            <w:r>
              <w:rPr>
                <w:rFonts w:ascii="Times New Roman" w:hAnsi="Times New Roman" w:cs="Times New Roman" w:eastAsia="Times New Roman"/>
                <w:b w:val="false"/>
                <w:sz w:val="26"/>
              </w:rPr>
              <w:t>15-05-2014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đủ điều kiện bảo vệ luận văn quy định tại Khoản 2, Điều 27 Quy chế đào tạo trình độ thạc sĩ ban hành kèm theo Thông tư số 15/2014/TT-BGDĐT ngày 15 tháng 5 năm 2014 của Bộ trưởng Bộ Giáo dục và Đào tạo (Quy chế đào tạo trình độ thạc sĩ);
- Điểm luận văn đạt từ 5,5 trở lên;
- Đã nộp luận văn được hội đồng đánh giá đạt yêu cầu trở lên, có xác nhận của người hướng dẫn và chủ tịch hội đồng về việc luận văn đã được chỉnh sửa theo kết luận của hội đồng, đóng kèm bản sao kết luận của hội đồng đánh giá luận văn và nhận xét của các phản biện cho cơ sở đào tạo để sử dụng làm tài liệu tham khảo tại thư viện và lưu trữ theo quy định tại Điểm c, Khoản 2, Điều 33 Quy chế đào tạo trình độ thạc sĩ;
- Đã công bố công khai toàn văn luận văn trên website của cơ sở đào tạo quy định tại Khoản 9, Điều 34 Quy chế đào tạo trình độ thạc sĩ;
- Điều kiện khác do cơ sở đào tạo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2025-11-27T16:43:49Z</dcterms:created>
  <dc:creator>Apache POI</dc:creator>
</cp:coreProperties>
</file>